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A8A82D" w14:textId="40752A08" w:rsidR="00BF5B4F" w:rsidRDefault="00FF0C5B" w:rsidP="00DB16C5">
      <w:pPr>
        <w:ind w:left="567"/>
        <w:rPr>
          <w:rFonts w:ascii="Calibri" w:hAnsi="Calibri" w:cs="Calibri"/>
        </w:rPr>
      </w:pPr>
      <w:bookmarkStart w:id="0" w:name="_GoBack"/>
      <w:bookmarkEnd w:id="0"/>
      <w:r>
        <w:rPr>
          <w:noProof/>
        </w:rPr>
        <w:pict w14:anchorId="33E9BC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7.9pt;margin-top:-177.95pt;width:612.9pt;height:860.4pt;z-index:251670528;mso-wrap-edited:f;mso-width-percent:0;mso-height-percent:0;mso-width-percent:0;mso-height-percent:0">
            <v:imagedata r:id="rId7" o:title="decolonising the curriculum-4"/>
          </v:shape>
        </w:pict>
      </w:r>
      <w:r w:rsidR="00BF5B4F">
        <w:rPr>
          <w:rFonts w:ascii="Calibri" w:hAnsi="Calibri" w:cs="Calibri"/>
        </w:rPr>
        <w:br w:type="page"/>
      </w:r>
    </w:p>
    <w:p w14:paraId="4A079B8A" w14:textId="2B87AF6A" w:rsidR="00BF5B4F" w:rsidRDefault="00F06756" w:rsidP="00A70BD8">
      <w:pPr>
        <w:autoSpaceDE w:val="0"/>
        <w:autoSpaceDN w:val="0"/>
        <w:adjustRightInd w:val="0"/>
        <w:spacing w:after="120" w:line="276" w:lineRule="auto"/>
        <w:ind w:firstLine="567"/>
        <w:jc w:val="both"/>
        <w:rPr>
          <w:rFonts w:ascii="Palatino Linotype" w:hAnsi="Palatino Linotype" w:cs="Calibri"/>
          <w:b/>
          <w:bCs/>
          <w:color w:val="588392"/>
          <w:sz w:val="40"/>
          <w:szCs w:val="40"/>
        </w:rPr>
      </w:pPr>
      <w:r>
        <w:rPr>
          <w:rFonts w:ascii="Palatino Linotype" w:hAnsi="Palatino Linotype" w:cs="Calibri"/>
          <w:b/>
          <w:bCs/>
          <w:color w:val="588392"/>
          <w:sz w:val="40"/>
          <w:szCs w:val="40"/>
        </w:rPr>
        <w:lastRenderedPageBreak/>
        <w:t>Introduction</w:t>
      </w:r>
    </w:p>
    <w:p w14:paraId="0F61302E" w14:textId="77777777" w:rsidR="00C52C22" w:rsidRPr="00DB16C5" w:rsidRDefault="00C52C22" w:rsidP="00DB16C5">
      <w:pPr>
        <w:autoSpaceDE w:val="0"/>
        <w:autoSpaceDN w:val="0"/>
        <w:adjustRightInd w:val="0"/>
        <w:spacing w:after="120" w:line="276" w:lineRule="auto"/>
        <w:ind w:left="567"/>
        <w:jc w:val="both"/>
        <w:rPr>
          <w:rFonts w:ascii="Palatino Linotype" w:hAnsi="Palatino Linotype" w:cs="Calibri"/>
          <w:b/>
          <w:bCs/>
          <w:color w:val="588392"/>
          <w:sz w:val="40"/>
          <w:szCs w:val="40"/>
        </w:rPr>
      </w:pPr>
    </w:p>
    <w:p w14:paraId="1F3CE0A2" w14:textId="20FA9B5D" w:rsidR="00C52C22" w:rsidRDefault="00C52C22" w:rsidP="00C52C22">
      <w:pPr>
        <w:autoSpaceDE w:val="0"/>
        <w:autoSpaceDN w:val="0"/>
        <w:adjustRightInd w:val="0"/>
        <w:spacing w:after="120" w:line="276" w:lineRule="auto"/>
        <w:ind w:left="567"/>
        <w:jc w:val="both"/>
        <w:rPr>
          <w:rFonts w:ascii="Calibri" w:hAnsi="Calibri" w:cs="Calibri"/>
          <w:color w:val="000000" w:themeColor="text1"/>
        </w:rPr>
      </w:pPr>
      <w:r w:rsidRPr="00C52C22">
        <w:rPr>
          <w:rFonts w:ascii="Calibri" w:hAnsi="Calibri" w:cs="Calibri"/>
          <w:color w:val="000000" w:themeColor="text1"/>
        </w:rPr>
        <w:t xml:space="preserve">The “Decolonising the Curriculum” initiative has a long history at the School of Government, University of Birmingham, going back to a Curriculum Away Day organised in November 2018, with the enthusiastic participation of over thirty colleagues across all three of the School’s departments. The </w:t>
      </w:r>
      <w:r>
        <w:rPr>
          <w:rFonts w:ascii="Calibri" w:hAnsi="Calibri" w:cs="Calibri"/>
          <w:color w:val="000000" w:themeColor="text1"/>
        </w:rPr>
        <w:t xml:space="preserve">vibrant </w:t>
      </w:r>
      <w:r w:rsidRPr="00C52C22">
        <w:rPr>
          <w:rFonts w:ascii="Calibri" w:hAnsi="Calibri" w:cs="Calibri"/>
          <w:color w:val="000000" w:themeColor="text1"/>
        </w:rPr>
        <w:t xml:space="preserve">discussions, </w:t>
      </w:r>
      <w:r w:rsidR="00EE6543">
        <w:rPr>
          <w:rFonts w:ascii="Calibri" w:hAnsi="Calibri" w:cs="Calibri"/>
          <w:color w:val="000000" w:themeColor="text1"/>
        </w:rPr>
        <w:t xml:space="preserve">which were </w:t>
      </w:r>
      <w:r w:rsidRPr="00C52C22">
        <w:rPr>
          <w:rFonts w:ascii="Calibri" w:hAnsi="Calibri" w:cs="Calibri"/>
          <w:color w:val="000000" w:themeColor="text1"/>
        </w:rPr>
        <w:t xml:space="preserve">guided and facilitated by Meera Sabaratnam (SOAS, University of London), </w:t>
      </w:r>
      <w:r>
        <w:rPr>
          <w:rFonts w:ascii="Calibri" w:hAnsi="Calibri" w:cs="Calibri"/>
          <w:color w:val="000000" w:themeColor="text1"/>
        </w:rPr>
        <w:t xml:space="preserve">demonstrated both colleagues’ desire for stronger engagement with this agenda as well as </w:t>
      </w:r>
      <w:r w:rsidR="00EE6543">
        <w:rPr>
          <w:rFonts w:ascii="Calibri" w:hAnsi="Calibri" w:cs="Calibri"/>
          <w:color w:val="000000" w:themeColor="text1"/>
        </w:rPr>
        <w:t>the challenges that lay ahead.</w:t>
      </w:r>
    </w:p>
    <w:p w14:paraId="3F4E1DB3" w14:textId="4D254CA6" w:rsidR="00EE6543" w:rsidRDefault="00EE6543" w:rsidP="00C52C22">
      <w:pPr>
        <w:autoSpaceDE w:val="0"/>
        <w:autoSpaceDN w:val="0"/>
        <w:adjustRightInd w:val="0"/>
        <w:spacing w:after="120" w:line="276" w:lineRule="auto"/>
        <w:ind w:left="567"/>
        <w:jc w:val="both"/>
        <w:rPr>
          <w:rFonts w:ascii="Calibri" w:hAnsi="Calibri" w:cs="Calibri"/>
          <w:color w:val="000000" w:themeColor="text1"/>
        </w:rPr>
      </w:pPr>
      <w:r>
        <w:rPr>
          <w:rFonts w:ascii="Calibri" w:hAnsi="Calibri" w:cs="Calibri"/>
          <w:color w:val="000000" w:themeColor="text1"/>
        </w:rPr>
        <w:t>This collection of material</w:t>
      </w:r>
      <w:r w:rsidR="00FF716A">
        <w:rPr>
          <w:rFonts w:ascii="Calibri" w:hAnsi="Calibri" w:cs="Calibri"/>
          <w:color w:val="000000" w:themeColor="text1"/>
        </w:rPr>
        <w:t xml:space="preserve"> was drafted </w:t>
      </w:r>
      <w:r w:rsidR="00DA7FC2">
        <w:rPr>
          <w:rFonts w:ascii="Calibri" w:hAnsi="Calibri" w:cs="Calibri"/>
          <w:color w:val="000000" w:themeColor="text1"/>
        </w:rPr>
        <w:t xml:space="preserve">in August 2020 </w:t>
      </w:r>
      <w:r w:rsidR="00FF716A">
        <w:rPr>
          <w:rFonts w:ascii="Calibri" w:hAnsi="Calibri" w:cs="Calibri"/>
          <w:color w:val="000000" w:themeColor="text1"/>
        </w:rPr>
        <w:t xml:space="preserve">as a way of tackling some of these challenges. We </w:t>
      </w:r>
      <w:r>
        <w:rPr>
          <w:rFonts w:ascii="Calibri" w:hAnsi="Calibri" w:cs="Calibri"/>
          <w:color w:val="000000" w:themeColor="text1"/>
        </w:rPr>
        <w:t>aim to take this agenda forward</w:t>
      </w:r>
      <w:r w:rsidR="00A70BD8">
        <w:rPr>
          <w:rFonts w:ascii="Calibri" w:hAnsi="Calibri" w:cs="Calibri"/>
          <w:color w:val="000000" w:themeColor="text1"/>
        </w:rPr>
        <w:t>, firstly,</w:t>
      </w:r>
      <w:r>
        <w:rPr>
          <w:rFonts w:ascii="Calibri" w:hAnsi="Calibri" w:cs="Calibri"/>
          <w:color w:val="000000" w:themeColor="text1"/>
        </w:rPr>
        <w:t xml:space="preserve"> by identifying </w:t>
      </w:r>
      <w:r w:rsidR="00A70BD8">
        <w:rPr>
          <w:rFonts w:ascii="Calibri" w:hAnsi="Calibri" w:cs="Calibri"/>
          <w:color w:val="000000" w:themeColor="text1"/>
        </w:rPr>
        <w:t>a background and the</w:t>
      </w:r>
      <w:r>
        <w:rPr>
          <w:rFonts w:ascii="Calibri" w:hAnsi="Calibri" w:cs="Calibri"/>
          <w:color w:val="000000" w:themeColor="text1"/>
        </w:rPr>
        <w:t xml:space="preserve"> rationale behind the “Decolonising the Curriculum” initiative</w:t>
      </w:r>
      <w:r w:rsidR="00A70BD8">
        <w:rPr>
          <w:rFonts w:ascii="Calibri" w:hAnsi="Calibri" w:cs="Calibri"/>
          <w:color w:val="000000" w:themeColor="text1"/>
        </w:rPr>
        <w:t>.</w:t>
      </w:r>
      <w:r>
        <w:rPr>
          <w:rFonts w:ascii="Calibri" w:hAnsi="Calibri" w:cs="Calibri"/>
          <w:color w:val="000000" w:themeColor="text1"/>
        </w:rPr>
        <w:t xml:space="preserve"> </w:t>
      </w:r>
      <w:r w:rsidR="00A70BD8">
        <w:rPr>
          <w:rFonts w:ascii="Calibri" w:hAnsi="Calibri" w:cs="Calibri"/>
          <w:color w:val="000000" w:themeColor="text1"/>
        </w:rPr>
        <w:t>We continue by</w:t>
      </w:r>
      <w:r w:rsidR="00FF716A">
        <w:rPr>
          <w:rFonts w:ascii="Calibri" w:hAnsi="Calibri" w:cs="Calibri"/>
          <w:color w:val="000000" w:themeColor="text1"/>
        </w:rPr>
        <w:t xml:space="preserve"> offering</w:t>
      </w:r>
      <w:r>
        <w:rPr>
          <w:rFonts w:ascii="Calibri" w:hAnsi="Calibri" w:cs="Calibri"/>
          <w:color w:val="000000" w:themeColor="text1"/>
        </w:rPr>
        <w:t xml:space="preserve"> practical strategies that may be deployed</w:t>
      </w:r>
      <w:r w:rsidR="00FF716A">
        <w:rPr>
          <w:rFonts w:ascii="Calibri" w:hAnsi="Calibri" w:cs="Calibri"/>
          <w:color w:val="000000" w:themeColor="text1"/>
        </w:rPr>
        <w:t xml:space="preserve"> by colleagues who wish to review their pedagogical approaches</w:t>
      </w:r>
      <w:r w:rsidR="00A70BD8">
        <w:rPr>
          <w:rFonts w:ascii="Calibri" w:hAnsi="Calibri" w:cs="Calibri"/>
          <w:color w:val="000000" w:themeColor="text1"/>
        </w:rPr>
        <w:t>, including a list of relevant websites and FAQs</w:t>
      </w:r>
      <w:r>
        <w:rPr>
          <w:rFonts w:ascii="Calibri" w:hAnsi="Calibri" w:cs="Calibri"/>
          <w:color w:val="000000" w:themeColor="text1"/>
        </w:rPr>
        <w:t xml:space="preserve">. </w:t>
      </w:r>
      <w:r w:rsidR="00A70BD8">
        <w:rPr>
          <w:rFonts w:ascii="Calibri" w:hAnsi="Calibri" w:cs="Calibri"/>
          <w:color w:val="000000" w:themeColor="text1"/>
        </w:rPr>
        <w:t xml:space="preserve">Finally, we include a section on students’ views on this agenda, as well as </w:t>
      </w:r>
      <w:r>
        <w:rPr>
          <w:rFonts w:ascii="Calibri" w:hAnsi="Calibri" w:cs="Calibri"/>
          <w:color w:val="000000" w:themeColor="text1"/>
        </w:rPr>
        <w:t xml:space="preserve">a range of </w:t>
      </w:r>
      <w:r w:rsidR="00FF716A">
        <w:rPr>
          <w:rFonts w:ascii="Calibri" w:hAnsi="Calibri" w:cs="Calibri"/>
          <w:color w:val="000000" w:themeColor="text1"/>
        </w:rPr>
        <w:t xml:space="preserve">reflective </w:t>
      </w:r>
      <w:r>
        <w:rPr>
          <w:rFonts w:ascii="Calibri" w:hAnsi="Calibri" w:cs="Calibri"/>
          <w:color w:val="000000" w:themeColor="text1"/>
        </w:rPr>
        <w:t>pieces drafted by colleagues</w:t>
      </w:r>
      <w:r w:rsidR="00A70BD8">
        <w:rPr>
          <w:rFonts w:ascii="Calibri" w:hAnsi="Calibri" w:cs="Calibri"/>
          <w:color w:val="000000" w:themeColor="text1"/>
        </w:rPr>
        <w:t>,</w:t>
      </w:r>
      <w:r>
        <w:rPr>
          <w:rFonts w:ascii="Calibri" w:hAnsi="Calibri" w:cs="Calibri"/>
          <w:color w:val="000000" w:themeColor="text1"/>
        </w:rPr>
        <w:t xml:space="preserve"> from across the three departments, </w:t>
      </w:r>
      <w:r w:rsidR="00FF716A">
        <w:rPr>
          <w:rFonts w:ascii="Calibri" w:hAnsi="Calibri" w:cs="Calibri"/>
          <w:color w:val="000000" w:themeColor="text1"/>
        </w:rPr>
        <w:t>who have sought to think about how they approach learning production within their teaching. W</w:t>
      </w:r>
      <w:r>
        <w:rPr>
          <w:rFonts w:ascii="Calibri" w:hAnsi="Calibri" w:cs="Calibri"/>
          <w:color w:val="000000" w:themeColor="text1"/>
        </w:rPr>
        <w:t xml:space="preserve">e hope </w:t>
      </w:r>
      <w:r w:rsidR="00FF716A">
        <w:rPr>
          <w:rFonts w:ascii="Calibri" w:hAnsi="Calibri" w:cs="Calibri"/>
          <w:color w:val="000000" w:themeColor="text1"/>
        </w:rPr>
        <w:t xml:space="preserve">the collection </w:t>
      </w:r>
      <w:r>
        <w:rPr>
          <w:rFonts w:ascii="Calibri" w:hAnsi="Calibri" w:cs="Calibri"/>
          <w:color w:val="000000" w:themeColor="text1"/>
        </w:rPr>
        <w:t xml:space="preserve">will prove </w:t>
      </w:r>
      <w:r w:rsidR="00A70BD8">
        <w:rPr>
          <w:rFonts w:ascii="Calibri" w:hAnsi="Calibri" w:cs="Calibri"/>
          <w:color w:val="000000" w:themeColor="text1"/>
        </w:rPr>
        <w:t xml:space="preserve">a </w:t>
      </w:r>
      <w:r>
        <w:rPr>
          <w:rFonts w:ascii="Calibri" w:hAnsi="Calibri" w:cs="Calibri"/>
          <w:color w:val="000000" w:themeColor="text1"/>
        </w:rPr>
        <w:t>useful and valuable</w:t>
      </w:r>
      <w:r w:rsidR="00A70BD8">
        <w:rPr>
          <w:rFonts w:ascii="Calibri" w:hAnsi="Calibri" w:cs="Calibri"/>
          <w:color w:val="000000" w:themeColor="text1"/>
        </w:rPr>
        <w:t xml:space="preserve"> resource.</w:t>
      </w:r>
    </w:p>
    <w:p w14:paraId="3DE735A5" w14:textId="7DB18953" w:rsidR="00EE6543" w:rsidRDefault="00A70BD8" w:rsidP="00A70BD8">
      <w:pPr>
        <w:autoSpaceDE w:val="0"/>
        <w:autoSpaceDN w:val="0"/>
        <w:adjustRightInd w:val="0"/>
        <w:spacing w:after="120" w:line="276" w:lineRule="auto"/>
        <w:ind w:left="567"/>
        <w:jc w:val="both"/>
        <w:rPr>
          <w:rFonts w:ascii="Calibri" w:hAnsi="Calibri" w:cs="Calibri"/>
          <w:color w:val="000000" w:themeColor="text1"/>
        </w:rPr>
      </w:pPr>
      <w:r>
        <w:rPr>
          <w:rFonts w:ascii="Calibri" w:hAnsi="Calibri" w:cs="Calibri"/>
          <w:color w:val="000000" w:themeColor="text1"/>
        </w:rPr>
        <w:t xml:space="preserve">The collection includes a range of student quotes and data, drawn from the 2020 POLSIS in Colour survey, facilitated by Richard North. </w:t>
      </w:r>
      <w:r w:rsidR="00EE6543">
        <w:rPr>
          <w:rFonts w:ascii="Calibri" w:hAnsi="Calibri" w:cs="Calibri"/>
          <w:color w:val="000000" w:themeColor="text1"/>
        </w:rPr>
        <w:t xml:space="preserve">A huge note of thanks goes to </w:t>
      </w:r>
      <w:r w:rsidR="00FF716A">
        <w:rPr>
          <w:rFonts w:ascii="Calibri" w:hAnsi="Calibri" w:cs="Calibri"/>
          <w:color w:val="000000" w:themeColor="text1"/>
        </w:rPr>
        <w:t>a number of School of Government</w:t>
      </w:r>
      <w:r w:rsidR="00EE6543">
        <w:rPr>
          <w:rFonts w:ascii="Calibri" w:hAnsi="Calibri" w:cs="Calibri"/>
          <w:color w:val="000000" w:themeColor="text1"/>
        </w:rPr>
        <w:t xml:space="preserve"> colleagues who contributed to this document – Karin Bottom, Nic Cheeseman, May Darwich, Jonathan Fisher, Giuditta Fontana, Charlotte Galpin, </w:t>
      </w:r>
      <w:r>
        <w:rPr>
          <w:rFonts w:ascii="Calibri" w:hAnsi="Calibri" w:cs="Calibri"/>
          <w:color w:val="000000" w:themeColor="text1"/>
        </w:rPr>
        <w:t xml:space="preserve">Laura Jenkins, </w:t>
      </w:r>
      <w:r w:rsidR="00EE6543">
        <w:rPr>
          <w:rFonts w:ascii="Calibri" w:hAnsi="Calibri" w:cs="Calibri"/>
          <w:color w:val="000000" w:themeColor="text1"/>
        </w:rPr>
        <w:t xml:space="preserve">and Jeanne Morefield. This </w:t>
      </w:r>
      <w:r w:rsidR="00FF716A">
        <w:rPr>
          <w:rFonts w:ascii="Calibri" w:hAnsi="Calibri" w:cs="Calibri"/>
          <w:color w:val="000000" w:themeColor="text1"/>
        </w:rPr>
        <w:t xml:space="preserve">initiative </w:t>
      </w:r>
      <w:r w:rsidR="00EE6543">
        <w:rPr>
          <w:rFonts w:ascii="Calibri" w:hAnsi="Calibri" w:cs="Calibri"/>
          <w:color w:val="000000" w:themeColor="text1"/>
        </w:rPr>
        <w:t xml:space="preserve">would not have been possible without the encouragement </w:t>
      </w:r>
      <w:r w:rsidR="00FF716A">
        <w:rPr>
          <w:rFonts w:ascii="Calibri" w:hAnsi="Calibri" w:cs="Calibri"/>
          <w:color w:val="000000" w:themeColor="text1"/>
        </w:rPr>
        <w:t>and support of</w:t>
      </w:r>
      <w:r w:rsidR="00EE6543">
        <w:rPr>
          <w:rFonts w:ascii="Calibri" w:hAnsi="Calibri" w:cs="Calibri"/>
          <w:color w:val="000000" w:themeColor="text1"/>
        </w:rPr>
        <w:t xml:space="preserve"> </w:t>
      </w:r>
      <w:r w:rsidR="00EE6543" w:rsidRPr="00EE6543">
        <w:rPr>
          <w:rFonts w:ascii="Calibri" w:hAnsi="Calibri" w:cs="Calibri"/>
          <w:color w:val="000000" w:themeColor="text1"/>
        </w:rPr>
        <w:t>René Lindstädt</w:t>
      </w:r>
      <w:r w:rsidR="00FF716A">
        <w:rPr>
          <w:rFonts w:ascii="Calibri" w:hAnsi="Calibri" w:cs="Calibri"/>
          <w:color w:val="000000" w:themeColor="text1"/>
        </w:rPr>
        <w:t>, Head of School,</w:t>
      </w:r>
      <w:r w:rsidR="00EE6543">
        <w:rPr>
          <w:rFonts w:ascii="Calibri" w:hAnsi="Calibri" w:cs="Calibri"/>
          <w:color w:val="000000" w:themeColor="text1"/>
        </w:rPr>
        <w:t xml:space="preserve"> and </w:t>
      </w:r>
      <w:r w:rsidR="00EE6543" w:rsidRPr="00EE6543">
        <w:rPr>
          <w:rFonts w:ascii="Calibri" w:hAnsi="Calibri" w:cs="Calibri"/>
          <w:color w:val="000000" w:themeColor="text1"/>
        </w:rPr>
        <w:t>Mark Wenman</w:t>
      </w:r>
      <w:r w:rsidR="00EE6543">
        <w:rPr>
          <w:rFonts w:ascii="Calibri" w:hAnsi="Calibri" w:cs="Calibri"/>
          <w:color w:val="000000" w:themeColor="text1"/>
        </w:rPr>
        <w:t>, Head of Education</w:t>
      </w:r>
      <w:r w:rsidR="00FF716A">
        <w:rPr>
          <w:rFonts w:ascii="Calibri" w:hAnsi="Calibri" w:cs="Calibri"/>
          <w:color w:val="000000" w:themeColor="text1"/>
        </w:rPr>
        <w:t>.</w:t>
      </w:r>
    </w:p>
    <w:p w14:paraId="79D1785F" w14:textId="77777777" w:rsidR="00EE6543" w:rsidRDefault="00EE6543" w:rsidP="00C52C22">
      <w:pPr>
        <w:autoSpaceDE w:val="0"/>
        <w:autoSpaceDN w:val="0"/>
        <w:adjustRightInd w:val="0"/>
        <w:spacing w:after="120" w:line="276" w:lineRule="auto"/>
        <w:ind w:left="567"/>
        <w:jc w:val="both"/>
        <w:rPr>
          <w:rFonts w:ascii="Calibri" w:hAnsi="Calibri" w:cs="Calibri"/>
          <w:color w:val="000000" w:themeColor="text1"/>
        </w:rPr>
      </w:pPr>
    </w:p>
    <w:p w14:paraId="64F07B72" w14:textId="78BCA9F0" w:rsidR="00EE6543" w:rsidRDefault="00EE6543" w:rsidP="00C52C22">
      <w:pPr>
        <w:autoSpaceDE w:val="0"/>
        <w:autoSpaceDN w:val="0"/>
        <w:adjustRightInd w:val="0"/>
        <w:spacing w:after="120" w:line="276" w:lineRule="auto"/>
        <w:ind w:left="567"/>
        <w:jc w:val="both"/>
        <w:rPr>
          <w:rFonts w:ascii="Calibri" w:hAnsi="Calibri" w:cs="Calibri"/>
          <w:color w:val="000000" w:themeColor="text1"/>
        </w:rPr>
      </w:pPr>
    </w:p>
    <w:p w14:paraId="78D0611B" w14:textId="43BA6625" w:rsidR="00EE6543" w:rsidRPr="00DA7FC2" w:rsidRDefault="00EE6543" w:rsidP="00FF716A">
      <w:pPr>
        <w:autoSpaceDE w:val="0"/>
        <w:autoSpaceDN w:val="0"/>
        <w:adjustRightInd w:val="0"/>
        <w:spacing w:after="120"/>
        <w:ind w:left="567"/>
        <w:jc w:val="both"/>
        <w:rPr>
          <w:rFonts w:ascii="Calibri" w:hAnsi="Calibri" w:cs="Calibri"/>
          <w:b/>
          <w:bCs/>
          <w:color w:val="000000" w:themeColor="text1"/>
        </w:rPr>
      </w:pPr>
      <w:r w:rsidRPr="00DA7FC2">
        <w:rPr>
          <w:rFonts w:ascii="Calibri" w:hAnsi="Calibri" w:cs="Calibri"/>
          <w:b/>
          <w:bCs/>
          <w:color w:val="000000" w:themeColor="text1"/>
        </w:rPr>
        <w:t>Gerasimos Tsourapas</w:t>
      </w:r>
    </w:p>
    <w:p w14:paraId="60ED75E7" w14:textId="456E16DB" w:rsidR="00EE6543" w:rsidRPr="00C52C22" w:rsidRDefault="00EE6543" w:rsidP="00C52C22">
      <w:pPr>
        <w:autoSpaceDE w:val="0"/>
        <w:autoSpaceDN w:val="0"/>
        <w:adjustRightInd w:val="0"/>
        <w:spacing w:after="120" w:line="276" w:lineRule="auto"/>
        <w:ind w:left="567"/>
        <w:jc w:val="both"/>
        <w:rPr>
          <w:rFonts w:ascii="Calibri" w:hAnsi="Calibri" w:cs="Calibri"/>
          <w:color w:val="000000" w:themeColor="text1"/>
        </w:rPr>
      </w:pPr>
      <w:r w:rsidRPr="00EE6543">
        <w:rPr>
          <w:rFonts w:ascii="Calibri" w:hAnsi="Calibri" w:cs="Calibri"/>
          <w:color w:val="000000" w:themeColor="text1"/>
        </w:rPr>
        <w:t>Head of Equality, Diversity &amp; Inclusion</w:t>
      </w:r>
      <w:r w:rsidR="002C600D">
        <w:rPr>
          <w:rFonts w:ascii="Calibri" w:hAnsi="Calibri" w:cs="Calibri"/>
          <w:color w:val="000000" w:themeColor="text1"/>
        </w:rPr>
        <w:t xml:space="preserve"> –</w:t>
      </w:r>
      <w:r w:rsidRPr="00EE6543">
        <w:rPr>
          <w:rFonts w:ascii="Calibri" w:hAnsi="Calibri" w:cs="Calibri"/>
          <w:color w:val="000000" w:themeColor="text1"/>
        </w:rPr>
        <w:t xml:space="preserve"> School of Government  </w:t>
      </w:r>
    </w:p>
    <w:p w14:paraId="6BA40721" w14:textId="77777777" w:rsidR="00DB16C5" w:rsidRPr="00DB16C5" w:rsidRDefault="00DB16C5" w:rsidP="00DB16C5">
      <w:pPr>
        <w:autoSpaceDE w:val="0"/>
        <w:autoSpaceDN w:val="0"/>
        <w:adjustRightInd w:val="0"/>
        <w:spacing w:after="120" w:line="276" w:lineRule="auto"/>
        <w:ind w:left="567"/>
        <w:jc w:val="both"/>
        <w:rPr>
          <w:rFonts w:ascii="Calibri" w:hAnsi="Calibri" w:cs="Calibri"/>
          <w:color w:val="588392"/>
          <w:sz w:val="40"/>
          <w:szCs w:val="40"/>
        </w:rPr>
      </w:pPr>
    </w:p>
    <w:p w14:paraId="4FA2FC69" w14:textId="0E8476A0" w:rsidR="00F06756" w:rsidRDefault="00F06756">
      <w:pPr>
        <w:rPr>
          <w:rFonts w:ascii="Palatino Linotype" w:hAnsi="Palatino Linotype" w:cs="Calibri"/>
          <w:b/>
          <w:bCs/>
          <w:color w:val="588392"/>
          <w:sz w:val="40"/>
          <w:szCs w:val="40"/>
        </w:rPr>
      </w:pPr>
    </w:p>
    <w:p w14:paraId="52A09F8D" w14:textId="0451C298" w:rsidR="00DB16C5" w:rsidRPr="00DB16C5" w:rsidRDefault="00DB16C5" w:rsidP="00DB16C5">
      <w:pPr>
        <w:autoSpaceDE w:val="0"/>
        <w:autoSpaceDN w:val="0"/>
        <w:adjustRightInd w:val="0"/>
        <w:spacing w:after="120" w:line="276" w:lineRule="auto"/>
        <w:ind w:left="567"/>
        <w:jc w:val="both"/>
        <w:rPr>
          <w:rFonts w:ascii="Palatino Linotype" w:hAnsi="Palatino Linotype" w:cs="Calibri"/>
          <w:b/>
          <w:bCs/>
          <w:color w:val="588392"/>
          <w:sz w:val="40"/>
          <w:szCs w:val="40"/>
        </w:rPr>
      </w:pPr>
      <w:r w:rsidRPr="00DB16C5">
        <w:rPr>
          <w:rFonts w:ascii="Palatino Linotype" w:hAnsi="Palatino Linotype" w:cs="Calibri"/>
          <w:b/>
          <w:bCs/>
          <w:color w:val="588392"/>
          <w:sz w:val="40"/>
          <w:szCs w:val="40"/>
        </w:rPr>
        <w:t>Table of Contents</w:t>
      </w:r>
    </w:p>
    <w:p w14:paraId="6A0C051E" w14:textId="02AD9E11" w:rsidR="00DB16C5" w:rsidRDefault="00DB16C5" w:rsidP="00DB16C5">
      <w:pPr>
        <w:autoSpaceDE w:val="0"/>
        <w:autoSpaceDN w:val="0"/>
        <w:adjustRightInd w:val="0"/>
        <w:spacing w:after="120" w:line="276" w:lineRule="auto"/>
        <w:ind w:left="567"/>
        <w:jc w:val="both"/>
        <w:rPr>
          <w:rFonts w:ascii="Calibri" w:hAnsi="Calibri" w:cs="Calibri"/>
        </w:rPr>
      </w:pPr>
    </w:p>
    <w:p w14:paraId="77E8F172" w14:textId="358804D3" w:rsidR="00536A83" w:rsidRPr="00FD317C" w:rsidRDefault="00536A83" w:rsidP="00536A83">
      <w:pPr>
        <w:pStyle w:val="TOC2"/>
        <w:spacing w:after="240"/>
        <w:rPr>
          <w:rFonts w:ascii="Calibri" w:eastAsiaTheme="minorEastAsia" w:hAnsi="Calibri" w:cs="Calibri"/>
          <w:noProof/>
          <w:lang w:eastAsia="en-GB"/>
        </w:rPr>
      </w:pPr>
      <w:r w:rsidRPr="00FD317C">
        <w:rPr>
          <w:rFonts w:ascii="Calibri" w:hAnsi="Calibri" w:cs="Calibri"/>
        </w:rPr>
        <w:fldChar w:fldCharType="begin"/>
      </w:r>
      <w:r w:rsidRPr="00FD317C">
        <w:rPr>
          <w:rFonts w:ascii="Calibri" w:hAnsi="Calibri" w:cs="Calibri"/>
        </w:rPr>
        <w:instrText xml:space="preserve"> TOC \o "1-3" \h \z \u </w:instrText>
      </w:r>
      <w:r w:rsidRPr="00FD317C">
        <w:rPr>
          <w:rFonts w:ascii="Calibri" w:hAnsi="Calibri" w:cs="Calibri"/>
        </w:rPr>
        <w:fldChar w:fldCharType="separate"/>
      </w:r>
      <w:hyperlink w:anchor="_Toc50019535" w:history="1">
        <w:r w:rsidRPr="00FD317C">
          <w:rPr>
            <w:rStyle w:val="Hyperlink"/>
            <w:rFonts w:ascii="Calibri" w:hAnsi="Calibri" w:cs="Calibri"/>
            <w:b w:val="0"/>
            <w:bCs w:val="0"/>
            <w:noProof/>
          </w:rPr>
          <w:t>What is… Decolonising the Curriculum?</w:t>
        </w:r>
        <w:r w:rsidRPr="00FD317C">
          <w:rPr>
            <w:rFonts w:ascii="Calibri" w:hAnsi="Calibri" w:cs="Calibri"/>
            <w:noProof/>
            <w:webHidden/>
          </w:rPr>
          <w:tab/>
        </w:r>
        <w:r w:rsidRPr="00FD317C">
          <w:rPr>
            <w:rFonts w:ascii="Calibri" w:hAnsi="Calibri" w:cs="Calibri"/>
            <w:noProof/>
            <w:webHidden/>
          </w:rPr>
          <w:fldChar w:fldCharType="begin"/>
        </w:r>
        <w:r w:rsidRPr="00FD317C">
          <w:rPr>
            <w:rFonts w:ascii="Calibri" w:hAnsi="Calibri" w:cs="Calibri"/>
            <w:noProof/>
            <w:webHidden/>
          </w:rPr>
          <w:instrText xml:space="preserve"> PAGEREF _Toc50019535 \h </w:instrText>
        </w:r>
        <w:r w:rsidRPr="00FD317C">
          <w:rPr>
            <w:rFonts w:ascii="Calibri" w:hAnsi="Calibri" w:cs="Calibri"/>
            <w:noProof/>
            <w:webHidden/>
          </w:rPr>
        </w:r>
        <w:r w:rsidRPr="00FD317C">
          <w:rPr>
            <w:rFonts w:ascii="Calibri" w:hAnsi="Calibri" w:cs="Calibri"/>
            <w:noProof/>
            <w:webHidden/>
          </w:rPr>
          <w:fldChar w:fldCharType="separate"/>
        </w:r>
        <w:r w:rsidR="00FD317C" w:rsidRPr="00FD317C">
          <w:rPr>
            <w:rFonts w:ascii="Calibri" w:hAnsi="Calibri" w:cs="Calibri"/>
            <w:noProof/>
            <w:webHidden/>
          </w:rPr>
          <w:t>4</w:t>
        </w:r>
        <w:r w:rsidRPr="00FD317C">
          <w:rPr>
            <w:rFonts w:ascii="Calibri" w:hAnsi="Calibri" w:cs="Calibri"/>
            <w:noProof/>
            <w:webHidden/>
          </w:rPr>
          <w:fldChar w:fldCharType="end"/>
        </w:r>
      </w:hyperlink>
    </w:p>
    <w:p w14:paraId="3E83A829" w14:textId="6EA22C78" w:rsidR="00536A83" w:rsidRPr="00FD317C" w:rsidRDefault="00FF0C5B" w:rsidP="00536A83">
      <w:pPr>
        <w:pStyle w:val="TOC2"/>
        <w:spacing w:after="240"/>
        <w:rPr>
          <w:rFonts w:ascii="Calibri" w:eastAsiaTheme="minorEastAsia" w:hAnsi="Calibri" w:cs="Calibri"/>
          <w:noProof/>
          <w:lang w:eastAsia="en-GB"/>
        </w:rPr>
      </w:pPr>
      <w:hyperlink w:anchor="_Toc50019536" w:history="1">
        <w:r w:rsidR="00536A83" w:rsidRPr="00FD317C">
          <w:rPr>
            <w:rStyle w:val="Hyperlink"/>
            <w:rFonts w:ascii="Calibri" w:hAnsi="Calibri" w:cs="Calibri"/>
            <w:b w:val="0"/>
            <w:bCs w:val="0"/>
            <w:noProof/>
          </w:rPr>
          <w:t>Why should we decolonise the curriculum?</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_Toc50019536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6</w:t>
        </w:r>
        <w:r w:rsidR="00536A83" w:rsidRPr="00FD317C">
          <w:rPr>
            <w:rFonts w:ascii="Calibri" w:hAnsi="Calibri" w:cs="Calibri"/>
            <w:noProof/>
            <w:webHidden/>
          </w:rPr>
          <w:fldChar w:fldCharType="end"/>
        </w:r>
      </w:hyperlink>
    </w:p>
    <w:p w14:paraId="385A7195" w14:textId="79514C82" w:rsidR="00536A83" w:rsidRPr="00FD317C" w:rsidRDefault="00FF0C5B" w:rsidP="00536A83">
      <w:pPr>
        <w:pStyle w:val="TOC2"/>
        <w:spacing w:after="240"/>
        <w:rPr>
          <w:rFonts w:ascii="Calibri" w:eastAsiaTheme="minorEastAsia" w:hAnsi="Calibri" w:cs="Calibri"/>
          <w:noProof/>
          <w:lang w:eastAsia="en-GB"/>
        </w:rPr>
      </w:pPr>
      <w:hyperlink w:anchor="_Toc50019539" w:history="1">
        <w:r w:rsidR="00536A83" w:rsidRPr="00FD317C">
          <w:rPr>
            <w:rStyle w:val="Hyperlink"/>
            <w:rFonts w:ascii="Calibri" w:hAnsi="Calibri" w:cs="Calibri"/>
            <w:b w:val="0"/>
            <w:bCs w:val="0"/>
            <w:noProof/>
          </w:rPr>
          <w:t>So, what can I do?</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_Toc50019539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8</w:t>
        </w:r>
        <w:r w:rsidR="00536A83" w:rsidRPr="00FD317C">
          <w:rPr>
            <w:rFonts w:ascii="Calibri" w:hAnsi="Calibri" w:cs="Calibri"/>
            <w:noProof/>
            <w:webHidden/>
          </w:rPr>
          <w:fldChar w:fldCharType="end"/>
        </w:r>
      </w:hyperlink>
    </w:p>
    <w:p w14:paraId="00C43534" w14:textId="3FFD613A" w:rsidR="00536A83" w:rsidRPr="00FD317C" w:rsidRDefault="00FF0C5B" w:rsidP="00536A83">
      <w:pPr>
        <w:pStyle w:val="TOC2"/>
        <w:spacing w:after="240"/>
        <w:rPr>
          <w:rFonts w:ascii="Calibri" w:eastAsiaTheme="minorEastAsia" w:hAnsi="Calibri" w:cs="Calibri"/>
          <w:noProof/>
          <w:lang w:eastAsia="en-GB"/>
        </w:rPr>
      </w:pPr>
      <w:hyperlink w:anchor="_Toc50019540" w:history="1">
        <w:r w:rsidR="00536A83" w:rsidRPr="00FD317C">
          <w:rPr>
            <w:rStyle w:val="Hyperlink"/>
            <w:rFonts w:ascii="Calibri" w:hAnsi="Calibri" w:cs="Calibri"/>
            <w:b w:val="0"/>
            <w:bCs w:val="0"/>
            <w:noProof/>
          </w:rPr>
          <w:t>Good practice suggestions</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_Toc50019540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10</w:t>
        </w:r>
        <w:r w:rsidR="00536A83" w:rsidRPr="00FD317C">
          <w:rPr>
            <w:rFonts w:ascii="Calibri" w:hAnsi="Calibri" w:cs="Calibri"/>
            <w:noProof/>
            <w:webHidden/>
          </w:rPr>
          <w:fldChar w:fldCharType="end"/>
        </w:r>
      </w:hyperlink>
    </w:p>
    <w:p w14:paraId="0239B7BA" w14:textId="50103E35" w:rsidR="00536A83" w:rsidRPr="00FD317C" w:rsidRDefault="00FF0C5B" w:rsidP="00536A83">
      <w:pPr>
        <w:pStyle w:val="TOC2"/>
        <w:spacing w:after="240"/>
        <w:rPr>
          <w:rFonts w:ascii="Calibri" w:eastAsiaTheme="minorEastAsia" w:hAnsi="Calibri" w:cs="Calibri"/>
          <w:noProof/>
          <w:lang w:eastAsia="en-GB"/>
        </w:rPr>
      </w:pPr>
      <w:hyperlink w:anchor="_Toc50019541" w:history="1">
        <w:r w:rsidR="00536A83" w:rsidRPr="00FD317C">
          <w:rPr>
            <w:rStyle w:val="Hyperlink"/>
            <w:rFonts w:ascii="Calibri" w:hAnsi="Calibri" w:cs="Calibri"/>
            <w:b w:val="0"/>
            <w:bCs w:val="0"/>
            <w:noProof/>
          </w:rPr>
          <w:t>Where can I get help?</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_Toc50019541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11</w:t>
        </w:r>
        <w:r w:rsidR="00536A83" w:rsidRPr="00FD317C">
          <w:rPr>
            <w:rFonts w:ascii="Calibri" w:hAnsi="Calibri" w:cs="Calibri"/>
            <w:noProof/>
            <w:webHidden/>
          </w:rPr>
          <w:fldChar w:fldCharType="end"/>
        </w:r>
      </w:hyperlink>
    </w:p>
    <w:p w14:paraId="7B4A1802" w14:textId="244C9722" w:rsidR="00536A83" w:rsidRPr="00FD317C" w:rsidRDefault="00FF0C5B" w:rsidP="00536A83">
      <w:pPr>
        <w:pStyle w:val="TOC2"/>
        <w:spacing w:after="240"/>
        <w:rPr>
          <w:rFonts w:ascii="Calibri" w:eastAsiaTheme="minorEastAsia" w:hAnsi="Calibri" w:cs="Calibri"/>
          <w:noProof/>
          <w:lang w:eastAsia="en-GB"/>
        </w:rPr>
      </w:pPr>
      <w:hyperlink w:anchor="_Toc50019542" w:history="1">
        <w:r w:rsidR="00536A83" w:rsidRPr="00FD317C">
          <w:rPr>
            <w:rStyle w:val="Hyperlink"/>
            <w:rFonts w:ascii="Calibri" w:hAnsi="Calibri" w:cs="Calibri"/>
            <w:b w:val="0"/>
            <w:bCs w:val="0"/>
            <w:noProof/>
          </w:rPr>
          <w:t>FAQs</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_Toc50019542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12</w:t>
        </w:r>
        <w:r w:rsidR="00536A83" w:rsidRPr="00FD317C">
          <w:rPr>
            <w:rFonts w:ascii="Calibri" w:hAnsi="Calibri" w:cs="Calibri"/>
            <w:noProof/>
            <w:webHidden/>
          </w:rPr>
          <w:fldChar w:fldCharType="end"/>
        </w:r>
      </w:hyperlink>
    </w:p>
    <w:p w14:paraId="64880E54" w14:textId="4DD53179" w:rsidR="00536A83" w:rsidRPr="00FD317C" w:rsidRDefault="00FF0C5B" w:rsidP="00536A83">
      <w:pPr>
        <w:pStyle w:val="TOC2"/>
        <w:spacing w:after="240"/>
        <w:rPr>
          <w:rFonts w:ascii="Calibri" w:eastAsiaTheme="minorEastAsia" w:hAnsi="Calibri" w:cs="Calibri"/>
          <w:noProof/>
          <w:lang w:eastAsia="en-GB"/>
        </w:rPr>
      </w:pPr>
      <w:hyperlink w:anchor="_Toc50019543" w:history="1">
        <w:r w:rsidR="00536A83" w:rsidRPr="00FD317C">
          <w:rPr>
            <w:rStyle w:val="Hyperlink"/>
            <w:rFonts w:ascii="Calibri" w:hAnsi="Calibri" w:cs="Calibri"/>
            <w:b w:val="0"/>
            <w:bCs w:val="0"/>
            <w:noProof/>
          </w:rPr>
          <w:t>Student views on Decolonising the Curriculum (</w:t>
        </w:r>
        <w:r w:rsidR="00536A83" w:rsidRPr="00FD317C">
          <w:rPr>
            <w:rStyle w:val="Hyperlink"/>
            <w:rFonts w:ascii="Calibri" w:hAnsi="Calibri" w:cs="Calibri"/>
            <w:b w:val="0"/>
            <w:bCs w:val="0"/>
            <w:i/>
            <w:iCs/>
            <w:noProof/>
          </w:rPr>
          <w:t>Charlotte Galpin</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_Toc50019543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14</w:t>
        </w:r>
        <w:r w:rsidR="00536A83" w:rsidRPr="00FD317C">
          <w:rPr>
            <w:rFonts w:ascii="Calibri" w:hAnsi="Calibri" w:cs="Calibri"/>
            <w:noProof/>
            <w:webHidden/>
          </w:rPr>
          <w:fldChar w:fldCharType="end"/>
        </w:r>
      </w:hyperlink>
    </w:p>
    <w:p w14:paraId="0FEA02A9" w14:textId="21D42E0A" w:rsidR="00536A83" w:rsidRPr="00FD317C" w:rsidRDefault="00FF0C5B" w:rsidP="00536A83">
      <w:pPr>
        <w:pStyle w:val="TOC2"/>
        <w:spacing w:after="240"/>
        <w:rPr>
          <w:rFonts w:ascii="Calibri" w:eastAsiaTheme="minorEastAsia" w:hAnsi="Calibri" w:cs="Calibri"/>
          <w:noProof/>
          <w:lang w:eastAsia="en-GB"/>
        </w:rPr>
      </w:pPr>
      <w:hyperlink r:id="rId8" w:anchor="_Toc50019544" w:history="1">
        <w:r w:rsidR="00536A83" w:rsidRPr="00FD317C">
          <w:rPr>
            <w:rStyle w:val="Hyperlink"/>
            <w:rFonts w:ascii="Calibri" w:hAnsi="Calibri" w:cs="Calibri"/>
            <w:b w:val="0"/>
            <w:bCs w:val="0"/>
            <w:noProof/>
          </w:rPr>
          <w:t>Case Study #1 – “Understanding Brexit: Identity and Euroscepticism in Europe”</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_Toc50019544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19</w:t>
        </w:r>
        <w:r w:rsidR="00536A83" w:rsidRPr="00FD317C">
          <w:rPr>
            <w:rFonts w:ascii="Calibri" w:hAnsi="Calibri" w:cs="Calibri"/>
            <w:noProof/>
            <w:webHidden/>
          </w:rPr>
          <w:fldChar w:fldCharType="end"/>
        </w:r>
      </w:hyperlink>
    </w:p>
    <w:p w14:paraId="5F17A5A9" w14:textId="13F79639" w:rsidR="00536A83" w:rsidRPr="00FD317C" w:rsidRDefault="00FF0C5B" w:rsidP="00536A83">
      <w:pPr>
        <w:pStyle w:val="TOC2"/>
        <w:spacing w:after="240"/>
        <w:rPr>
          <w:rFonts w:ascii="Calibri" w:eastAsiaTheme="minorEastAsia" w:hAnsi="Calibri" w:cs="Calibri"/>
          <w:noProof/>
          <w:lang w:eastAsia="en-GB"/>
        </w:rPr>
      </w:pPr>
      <w:hyperlink w:anchor="_Toc50019546" w:history="1">
        <w:r w:rsidR="00536A83" w:rsidRPr="00FD317C">
          <w:rPr>
            <w:rStyle w:val="Hyperlink"/>
            <w:rFonts w:ascii="Calibri" w:hAnsi="Calibri" w:cs="Calibri"/>
            <w:b w:val="0"/>
            <w:bCs w:val="0"/>
            <w:noProof/>
          </w:rPr>
          <w:t>Some Thoughts on Decolonising Political Theory (</w:t>
        </w:r>
        <w:r w:rsidR="00536A83" w:rsidRPr="00FD317C">
          <w:rPr>
            <w:rStyle w:val="Hyperlink"/>
            <w:rFonts w:ascii="Calibri" w:hAnsi="Calibri" w:cs="Calibri"/>
            <w:b w:val="0"/>
            <w:bCs w:val="0"/>
            <w:i/>
            <w:iCs/>
            <w:noProof/>
          </w:rPr>
          <w:t>Jeanne Morefield</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_Toc50019546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20</w:t>
        </w:r>
        <w:r w:rsidR="00536A83" w:rsidRPr="00FD317C">
          <w:rPr>
            <w:rFonts w:ascii="Calibri" w:hAnsi="Calibri" w:cs="Calibri"/>
            <w:noProof/>
            <w:webHidden/>
          </w:rPr>
          <w:fldChar w:fldCharType="end"/>
        </w:r>
      </w:hyperlink>
    </w:p>
    <w:p w14:paraId="60FFFC0C" w14:textId="7D1EC658" w:rsidR="00536A83" w:rsidRPr="00FD317C" w:rsidRDefault="00FF0C5B" w:rsidP="00536A83">
      <w:pPr>
        <w:pStyle w:val="TOC2"/>
        <w:spacing w:after="240"/>
        <w:rPr>
          <w:rFonts w:ascii="Calibri" w:eastAsiaTheme="minorEastAsia" w:hAnsi="Calibri" w:cs="Calibri"/>
          <w:noProof/>
          <w:lang w:eastAsia="en-GB"/>
        </w:rPr>
      </w:pPr>
      <w:hyperlink w:anchor="_Toc50019548" w:history="1">
        <w:r w:rsidR="00536A83" w:rsidRPr="00FD317C">
          <w:rPr>
            <w:rStyle w:val="Hyperlink"/>
            <w:rFonts w:ascii="Calibri" w:hAnsi="Calibri" w:cs="Calibri"/>
            <w:b w:val="0"/>
            <w:bCs w:val="0"/>
            <w:noProof/>
          </w:rPr>
          <w:t>Pedagogical Reflections on Teaching IR beyond Western Perspectives (</w:t>
        </w:r>
        <w:r w:rsidR="00536A83" w:rsidRPr="00FD317C">
          <w:rPr>
            <w:rStyle w:val="Hyperlink"/>
            <w:rFonts w:ascii="Calibri" w:hAnsi="Calibri" w:cs="Calibri"/>
            <w:b w:val="0"/>
            <w:bCs w:val="0"/>
            <w:i/>
            <w:iCs/>
            <w:noProof/>
          </w:rPr>
          <w:t>May Darwich</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_Toc50019548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25</w:t>
        </w:r>
        <w:r w:rsidR="00536A83" w:rsidRPr="00FD317C">
          <w:rPr>
            <w:rFonts w:ascii="Calibri" w:hAnsi="Calibri" w:cs="Calibri"/>
            <w:noProof/>
            <w:webHidden/>
          </w:rPr>
          <w:fldChar w:fldCharType="end"/>
        </w:r>
      </w:hyperlink>
    </w:p>
    <w:p w14:paraId="47C2CCCD" w14:textId="02AFF688" w:rsidR="00536A83" w:rsidRPr="00FD317C" w:rsidRDefault="00FF0C5B" w:rsidP="00536A83">
      <w:pPr>
        <w:pStyle w:val="TOC2"/>
        <w:spacing w:after="240"/>
        <w:rPr>
          <w:rFonts w:ascii="Calibri" w:eastAsiaTheme="minorEastAsia" w:hAnsi="Calibri" w:cs="Calibri"/>
          <w:noProof/>
          <w:lang w:eastAsia="en-GB"/>
        </w:rPr>
      </w:pPr>
      <w:hyperlink r:id="rId9" w:anchor="_Toc50019550" w:history="1">
        <w:r w:rsidR="00536A83" w:rsidRPr="00FD317C">
          <w:rPr>
            <w:rStyle w:val="Hyperlink"/>
            <w:rFonts w:ascii="Calibri" w:hAnsi="Calibri" w:cs="Calibri"/>
            <w:b w:val="0"/>
            <w:bCs w:val="0"/>
            <w:noProof/>
          </w:rPr>
          <w:t>Case Study #2 – “Decolonising Teaching on Conflict” (</w:t>
        </w:r>
        <w:r w:rsidR="00536A83" w:rsidRPr="00FD317C">
          <w:rPr>
            <w:rStyle w:val="Hyperlink"/>
            <w:rFonts w:ascii="Calibri" w:hAnsi="Calibri" w:cs="Calibri"/>
            <w:b w:val="0"/>
            <w:bCs w:val="0"/>
            <w:i/>
            <w:iCs/>
            <w:noProof/>
          </w:rPr>
          <w:t>Giuditta Fontana</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_Toc50019550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27</w:t>
        </w:r>
        <w:r w:rsidR="00536A83" w:rsidRPr="00FD317C">
          <w:rPr>
            <w:rFonts w:ascii="Calibri" w:hAnsi="Calibri" w:cs="Calibri"/>
            <w:noProof/>
            <w:webHidden/>
          </w:rPr>
          <w:fldChar w:fldCharType="end"/>
        </w:r>
      </w:hyperlink>
    </w:p>
    <w:p w14:paraId="4D6F0D03" w14:textId="70389F85" w:rsidR="00536A83" w:rsidRPr="00FD317C" w:rsidRDefault="00FF0C5B" w:rsidP="00536A83">
      <w:pPr>
        <w:pStyle w:val="TOC2"/>
        <w:spacing w:after="240"/>
        <w:rPr>
          <w:rFonts w:ascii="Calibri" w:eastAsiaTheme="minorEastAsia" w:hAnsi="Calibri" w:cs="Calibri"/>
          <w:noProof/>
          <w:lang w:eastAsia="en-GB"/>
        </w:rPr>
      </w:pPr>
      <w:hyperlink w:anchor="_Toc50019552" w:history="1">
        <w:r w:rsidR="00536A83" w:rsidRPr="00FD317C">
          <w:rPr>
            <w:rStyle w:val="Hyperlink"/>
            <w:rFonts w:ascii="Calibri" w:hAnsi="Calibri" w:cs="Calibri"/>
            <w:b w:val="0"/>
            <w:bCs w:val="0"/>
            <w:noProof/>
          </w:rPr>
          <w:t>Decolonising Development Studies: Some Reflections (</w:t>
        </w:r>
        <w:r w:rsidR="00536A83" w:rsidRPr="00FD317C">
          <w:rPr>
            <w:rStyle w:val="Hyperlink"/>
            <w:rFonts w:ascii="Calibri" w:hAnsi="Calibri" w:cs="Calibri"/>
            <w:b w:val="0"/>
            <w:bCs w:val="0"/>
            <w:i/>
            <w:iCs/>
            <w:noProof/>
          </w:rPr>
          <w:t>Jonathan Fisher</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_Toc50019552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28</w:t>
        </w:r>
        <w:r w:rsidR="00536A83" w:rsidRPr="00FD317C">
          <w:rPr>
            <w:rFonts w:ascii="Calibri" w:hAnsi="Calibri" w:cs="Calibri"/>
            <w:noProof/>
            <w:webHidden/>
          </w:rPr>
          <w:fldChar w:fldCharType="end"/>
        </w:r>
      </w:hyperlink>
    </w:p>
    <w:p w14:paraId="45B5F665" w14:textId="796A09FB" w:rsidR="00536A83" w:rsidRPr="00FD317C" w:rsidRDefault="00FF0C5B" w:rsidP="00536A83">
      <w:pPr>
        <w:pStyle w:val="TOC2"/>
        <w:spacing w:after="240"/>
        <w:rPr>
          <w:rFonts w:ascii="Calibri" w:eastAsiaTheme="minorEastAsia" w:hAnsi="Calibri" w:cs="Calibri"/>
          <w:noProof/>
          <w:lang w:eastAsia="en-GB"/>
        </w:rPr>
      </w:pPr>
      <w:hyperlink r:id="rId10" w:anchor="_Toc50019554" w:history="1">
        <w:r w:rsidR="00536A83" w:rsidRPr="00FD317C">
          <w:rPr>
            <w:rStyle w:val="Hyperlink"/>
            <w:rFonts w:ascii="Calibri" w:hAnsi="Calibri" w:cs="Calibri"/>
            <w:b w:val="0"/>
            <w:bCs w:val="0"/>
            <w:noProof/>
          </w:rPr>
          <w:t xml:space="preserve">Case Study #3 – “What does decolonisation Mean when it comes to the study of Africa”              </w:t>
        </w:r>
        <w:r w:rsidR="00FD317C">
          <w:rPr>
            <w:rStyle w:val="Hyperlink"/>
            <w:rFonts w:ascii="Calibri" w:hAnsi="Calibri" w:cs="Calibri"/>
            <w:b w:val="0"/>
            <w:bCs w:val="0"/>
            <w:noProof/>
          </w:rPr>
          <w:t xml:space="preserve">            </w:t>
        </w:r>
        <w:r w:rsidR="00536A83" w:rsidRPr="00FD317C">
          <w:rPr>
            <w:rStyle w:val="Hyperlink"/>
            <w:rFonts w:ascii="Calibri" w:hAnsi="Calibri" w:cs="Calibri"/>
            <w:b w:val="0"/>
            <w:bCs w:val="0"/>
            <w:noProof/>
          </w:rPr>
          <w:t>(</w:t>
        </w:r>
        <w:r w:rsidR="00536A83" w:rsidRPr="00FD317C">
          <w:rPr>
            <w:rStyle w:val="Hyperlink"/>
            <w:rFonts w:ascii="Calibri" w:hAnsi="Calibri" w:cs="Calibri"/>
            <w:b w:val="0"/>
            <w:bCs w:val="0"/>
            <w:i/>
            <w:iCs/>
            <w:noProof/>
          </w:rPr>
          <w:t>Nic Cheeseman</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_Toc50019554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32</w:t>
        </w:r>
        <w:r w:rsidR="00536A83" w:rsidRPr="00FD317C">
          <w:rPr>
            <w:rFonts w:ascii="Calibri" w:hAnsi="Calibri" w:cs="Calibri"/>
            <w:noProof/>
            <w:webHidden/>
          </w:rPr>
          <w:fldChar w:fldCharType="end"/>
        </w:r>
      </w:hyperlink>
    </w:p>
    <w:p w14:paraId="70BA5B0D" w14:textId="2EDEEE61" w:rsidR="00536A83" w:rsidRPr="00FD317C" w:rsidRDefault="00FF0C5B" w:rsidP="00536A83">
      <w:pPr>
        <w:pStyle w:val="TOC2"/>
        <w:spacing w:after="240"/>
        <w:rPr>
          <w:rFonts w:ascii="Calibri" w:eastAsiaTheme="minorEastAsia" w:hAnsi="Calibri" w:cs="Calibri"/>
          <w:noProof/>
          <w:lang w:eastAsia="en-GB"/>
        </w:rPr>
      </w:pPr>
      <w:hyperlink w:anchor="_Toc50019557" w:history="1">
        <w:r w:rsidR="00536A83" w:rsidRPr="00FD317C">
          <w:rPr>
            <w:rStyle w:val="Hyperlink"/>
            <w:rFonts w:ascii="Calibri" w:hAnsi="Calibri" w:cs="Calibri"/>
            <w:b w:val="0"/>
            <w:bCs w:val="0"/>
            <w:noProof/>
          </w:rPr>
          <w:t>Planning for a “Decolonised” Module in PAM (</w:t>
        </w:r>
        <w:r w:rsidR="00536A83" w:rsidRPr="00FD317C">
          <w:rPr>
            <w:rStyle w:val="Hyperlink"/>
            <w:rFonts w:ascii="Calibri" w:hAnsi="Calibri" w:cs="Calibri"/>
            <w:b w:val="0"/>
            <w:bCs w:val="0"/>
            <w:i/>
            <w:iCs/>
            <w:noProof/>
          </w:rPr>
          <w:t>Karin Bottom</w:t>
        </w:r>
        <w:r w:rsidR="00536A83" w:rsidRPr="00FD317C">
          <w:rPr>
            <w:rStyle w:val="Hyperlink"/>
            <w:rFonts w:ascii="Calibri" w:hAnsi="Calibri" w:cs="Calibri"/>
            <w:b w:val="0"/>
            <w:bCs w:val="0"/>
            <w:noProof/>
          </w:rPr>
          <w:t>)</w:t>
        </w:r>
        <w:r w:rsidR="00536A83" w:rsidRPr="00FD317C">
          <w:rPr>
            <w:rFonts w:ascii="Calibri" w:hAnsi="Calibri" w:cs="Calibri"/>
            <w:noProof/>
            <w:webHidden/>
          </w:rPr>
          <w:tab/>
        </w:r>
        <w:r w:rsidR="00536A83" w:rsidRPr="00FD317C">
          <w:rPr>
            <w:rFonts w:ascii="Calibri" w:hAnsi="Calibri" w:cs="Calibri"/>
            <w:noProof/>
            <w:webHidden/>
          </w:rPr>
          <w:fldChar w:fldCharType="begin"/>
        </w:r>
        <w:r w:rsidR="00536A83" w:rsidRPr="00FD317C">
          <w:rPr>
            <w:rFonts w:ascii="Calibri" w:hAnsi="Calibri" w:cs="Calibri"/>
            <w:noProof/>
            <w:webHidden/>
          </w:rPr>
          <w:instrText xml:space="preserve"> PAGEREF _Toc50019557 \h </w:instrText>
        </w:r>
        <w:r w:rsidR="00536A83" w:rsidRPr="00FD317C">
          <w:rPr>
            <w:rFonts w:ascii="Calibri" w:hAnsi="Calibri" w:cs="Calibri"/>
            <w:noProof/>
            <w:webHidden/>
          </w:rPr>
        </w:r>
        <w:r w:rsidR="00536A83" w:rsidRPr="00FD317C">
          <w:rPr>
            <w:rFonts w:ascii="Calibri" w:hAnsi="Calibri" w:cs="Calibri"/>
            <w:noProof/>
            <w:webHidden/>
          </w:rPr>
          <w:fldChar w:fldCharType="separate"/>
        </w:r>
        <w:r w:rsidR="00FD317C" w:rsidRPr="00FD317C">
          <w:rPr>
            <w:rFonts w:ascii="Calibri" w:hAnsi="Calibri" w:cs="Calibri"/>
            <w:noProof/>
            <w:webHidden/>
          </w:rPr>
          <w:t>33</w:t>
        </w:r>
        <w:r w:rsidR="00536A83" w:rsidRPr="00FD317C">
          <w:rPr>
            <w:rFonts w:ascii="Calibri" w:hAnsi="Calibri" w:cs="Calibri"/>
            <w:noProof/>
            <w:webHidden/>
          </w:rPr>
          <w:fldChar w:fldCharType="end"/>
        </w:r>
      </w:hyperlink>
    </w:p>
    <w:p w14:paraId="3844042C" w14:textId="637DDE68" w:rsidR="00536A83" w:rsidRPr="00FD317C" w:rsidRDefault="00536A83" w:rsidP="00536A83">
      <w:pPr>
        <w:pStyle w:val="TOC2"/>
        <w:rPr>
          <w:rFonts w:ascii="Calibri" w:eastAsiaTheme="minorEastAsia" w:hAnsi="Calibri" w:cs="Calibri"/>
          <w:noProof/>
          <w:lang w:eastAsia="en-GB"/>
        </w:rPr>
      </w:pPr>
    </w:p>
    <w:p w14:paraId="6B5CDA9C" w14:textId="2460EEF7" w:rsidR="00864F67" w:rsidRPr="00FD317C" w:rsidRDefault="00536A83" w:rsidP="00536A83">
      <w:pPr>
        <w:tabs>
          <w:tab w:val="right" w:leader="underscore" w:pos="9356"/>
        </w:tabs>
        <w:autoSpaceDE w:val="0"/>
        <w:autoSpaceDN w:val="0"/>
        <w:adjustRightInd w:val="0"/>
        <w:spacing w:after="120"/>
        <w:ind w:left="567"/>
        <w:jc w:val="both"/>
        <w:rPr>
          <w:rFonts w:ascii="Garamond" w:hAnsi="Garamond" w:cs="Calibri"/>
        </w:rPr>
      </w:pPr>
      <w:r w:rsidRPr="00FD317C">
        <w:rPr>
          <w:rFonts w:ascii="Calibri" w:hAnsi="Calibri" w:cs="Calibri"/>
          <w:sz w:val="22"/>
          <w:szCs w:val="22"/>
        </w:rPr>
        <w:fldChar w:fldCharType="end"/>
      </w:r>
    </w:p>
    <w:p w14:paraId="15290DB5" w14:textId="77777777" w:rsidR="00FC6557" w:rsidRPr="005D552D" w:rsidRDefault="00FC6557" w:rsidP="00DB16C5">
      <w:pPr>
        <w:autoSpaceDE w:val="0"/>
        <w:autoSpaceDN w:val="0"/>
        <w:adjustRightInd w:val="0"/>
        <w:spacing w:after="120"/>
        <w:ind w:left="567"/>
        <w:rPr>
          <w:rFonts w:ascii="Calibri" w:hAnsi="Calibri" w:cs="Calibri"/>
          <w:b/>
          <w:bCs/>
        </w:rPr>
      </w:pPr>
    </w:p>
    <w:p w14:paraId="7721A7B5" w14:textId="5FFB5E98" w:rsidR="00DB16C5" w:rsidRPr="00DB16C5" w:rsidRDefault="00FC6557" w:rsidP="00DB16C5">
      <w:pPr>
        <w:spacing w:after="120"/>
        <w:ind w:left="567"/>
        <w:rPr>
          <w:rFonts w:asciiTheme="majorHAnsi" w:eastAsiaTheme="majorEastAsia" w:hAnsiTheme="majorHAnsi" w:cstheme="majorBidi"/>
          <w:b/>
          <w:bCs/>
          <w:color w:val="2F5496" w:themeColor="accent1" w:themeShade="BF"/>
        </w:rPr>
      </w:pPr>
      <w:r w:rsidRPr="005D552D">
        <w:rPr>
          <w:b/>
          <w:bCs/>
        </w:rPr>
        <w:br w:type="page"/>
      </w:r>
      <w:bookmarkStart w:id="1" w:name="_Toc49932064"/>
    </w:p>
    <w:p w14:paraId="178C26EF" w14:textId="3AFA6389" w:rsidR="00DB16C5" w:rsidRPr="00334391" w:rsidRDefault="00933EA1" w:rsidP="005318B9">
      <w:pPr>
        <w:pStyle w:val="Heading2"/>
        <w:spacing w:after="120"/>
        <w:ind w:left="720" w:hanging="153"/>
        <w:rPr>
          <w:rFonts w:ascii="Palatino Linotype" w:hAnsi="Palatino Linotype"/>
          <w:b/>
          <w:bCs/>
          <w:color w:val="588392"/>
          <w:sz w:val="30"/>
          <w:szCs w:val="30"/>
        </w:rPr>
      </w:pPr>
      <w:bookmarkStart w:id="2" w:name="_Toc50019535"/>
      <w:r w:rsidRPr="0042214C">
        <w:rPr>
          <w:rFonts w:ascii="Palatino Linotype" w:hAnsi="Palatino Linotype"/>
          <w:b/>
          <w:bCs/>
          <w:color w:val="588392"/>
          <w:sz w:val="30"/>
          <w:szCs w:val="30"/>
        </w:rPr>
        <w:t xml:space="preserve">What </w:t>
      </w:r>
      <w:r w:rsidR="00FF716A">
        <w:rPr>
          <w:rFonts w:ascii="Palatino Linotype" w:hAnsi="Palatino Linotype"/>
          <w:b/>
          <w:bCs/>
          <w:color w:val="588392"/>
          <w:sz w:val="30"/>
          <w:szCs w:val="30"/>
        </w:rPr>
        <w:t>i</w:t>
      </w:r>
      <w:r w:rsidRPr="0042214C">
        <w:rPr>
          <w:rFonts w:ascii="Palatino Linotype" w:hAnsi="Palatino Linotype"/>
          <w:b/>
          <w:bCs/>
          <w:color w:val="588392"/>
          <w:sz w:val="30"/>
          <w:szCs w:val="30"/>
        </w:rPr>
        <w:t xml:space="preserve">s… </w:t>
      </w:r>
      <w:r w:rsidRPr="005318B9">
        <w:rPr>
          <w:rFonts w:ascii="Palatino Linotype" w:hAnsi="Palatino Linotype"/>
          <w:b/>
          <w:bCs/>
          <w:color w:val="009193"/>
          <w:sz w:val="30"/>
          <w:szCs w:val="30"/>
        </w:rPr>
        <w:t>D</w:t>
      </w:r>
      <w:r w:rsidRPr="0042214C">
        <w:rPr>
          <w:rFonts w:ascii="Palatino Linotype" w:hAnsi="Palatino Linotype"/>
          <w:b/>
          <w:bCs/>
          <w:color w:val="588392"/>
          <w:sz w:val="30"/>
          <w:szCs w:val="30"/>
        </w:rPr>
        <w:t>ecolonising th</w:t>
      </w:r>
      <w:r w:rsidRPr="005318B9">
        <w:rPr>
          <w:rFonts w:ascii="Palatino Linotype" w:hAnsi="Palatino Linotype" w:cs="Times New Roman (Headings CS)"/>
          <w:b/>
          <w:bCs/>
          <w:color w:val="588392"/>
          <w:sz w:val="30"/>
          <w:szCs w:val="30"/>
        </w:rPr>
        <w:t>e Cu</w:t>
      </w:r>
      <w:r w:rsidRPr="0042214C">
        <w:rPr>
          <w:rFonts w:ascii="Palatino Linotype" w:hAnsi="Palatino Linotype"/>
          <w:b/>
          <w:bCs/>
          <w:color w:val="588392"/>
          <w:sz w:val="30"/>
          <w:szCs w:val="30"/>
        </w:rPr>
        <w:t>rriculum?</w:t>
      </w:r>
      <w:bookmarkEnd w:id="1"/>
      <w:bookmarkEnd w:id="2"/>
    </w:p>
    <w:p w14:paraId="5B34133F" w14:textId="18536FF2" w:rsidR="00933EA1" w:rsidRDefault="00933EA1" w:rsidP="00DB16C5">
      <w:pPr>
        <w:spacing w:after="120"/>
        <w:ind w:left="567" w:right="333"/>
        <w:jc w:val="both"/>
        <w:rPr>
          <w:rFonts w:ascii="Calibri" w:hAnsi="Calibri" w:cs="Calibri"/>
        </w:rPr>
      </w:pPr>
      <w:r>
        <w:rPr>
          <w:rFonts w:ascii="Calibri" w:hAnsi="Calibri" w:cs="Calibri"/>
        </w:rPr>
        <w:t xml:space="preserve">Efforts to revise the curriculum in education are not novel, although the terminology and approaches may differ over time. </w:t>
      </w:r>
      <w:r w:rsidR="00083EFE">
        <w:rPr>
          <w:rFonts w:ascii="Calibri" w:hAnsi="Calibri" w:cs="Calibri"/>
        </w:rPr>
        <w:t xml:space="preserve">Whereas the 1990s witnessed a debate on promoting an ‘inclusive curriculum’ </w:t>
      </w:r>
      <w:r w:rsidR="00083EFE">
        <w:rPr>
          <w:rFonts w:ascii="Calibri" w:hAnsi="Calibri" w:cs="Calibri"/>
        </w:rPr>
        <w:fldChar w:fldCharType="begin"/>
      </w:r>
      <w:r w:rsidR="00083EFE">
        <w:rPr>
          <w:rFonts w:ascii="Calibri" w:hAnsi="Calibri" w:cs="Calibri"/>
        </w:rPr>
        <w:instrText xml:space="preserve"> ADDIN ZOTERO_ITEM CSL_CITATION {"citationID":"0keTinsa","properties":{"formattedCitation":"(Higginbotham 1990)","plainCitation":"(Higginbotham 1990)","noteIndex":0},"citationItems":[{"id":4421,"uris":["http://zotero.org/users/2498388/items/KVLQ2VU3"],"uri":["http://zotero.org/users/2498388/items/KVLQ2VU3"],"itemData":{"id":4421,"type":"article-journal","archive":"JSTOR","container-title":"Women's Studies Quarterly","ISSN":"0732-1562","issue":"1/2","note":"publisher: The Feminist Press at the City University of New York","page":"7-23","source":"JSTOR","title":"Designing an Inclusive Curriculum: Bringing All Women into the Core","title-short":"Designing an Inclusive Curriculum","volume":"18","author":[{"family":"Higginbotham","given":"Elizabeth"}],"issued":{"date-parts":[["1990"]]}}}],"schema":"https://github.com/citation-style-language/schema/raw/master/csl-citation.json"} </w:instrText>
      </w:r>
      <w:r w:rsidR="00083EFE">
        <w:rPr>
          <w:rFonts w:ascii="Calibri" w:hAnsi="Calibri" w:cs="Calibri"/>
        </w:rPr>
        <w:fldChar w:fldCharType="separate"/>
      </w:r>
      <w:r w:rsidR="00083EFE">
        <w:rPr>
          <w:rFonts w:ascii="Calibri" w:hAnsi="Calibri" w:cs="Calibri"/>
          <w:noProof/>
        </w:rPr>
        <w:t>(Higginbotham 1990)</w:t>
      </w:r>
      <w:r w:rsidR="00083EFE">
        <w:rPr>
          <w:rFonts w:ascii="Calibri" w:hAnsi="Calibri" w:cs="Calibri"/>
        </w:rPr>
        <w:fldChar w:fldCharType="end"/>
      </w:r>
      <w:r w:rsidR="00083EFE">
        <w:rPr>
          <w:rFonts w:ascii="Calibri" w:hAnsi="Calibri" w:cs="Calibri"/>
        </w:rPr>
        <w:t xml:space="preserve">, the move towards ‘decolonising the university’ can be traced to the post-2010 era. </w:t>
      </w:r>
      <w:r w:rsidR="00D214F9">
        <w:rPr>
          <w:rFonts w:ascii="Calibri" w:hAnsi="Calibri" w:cs="Calibri"/>
        </w:rPr>
        <w:t>It</w:t>
      </w:r>
      <w:r w:rsidR="00083EFE">
        <w:rPr>
          <w:rFonts w:ascii="Calibri" w:hAnsi="Calibri" w:cs="Calibri"/>
        </w:rPr>
        <w:t xml:space="preserve"> originated at the University of Cape Town, South Africa</w:t>
      </w:r>
      <w:r w:rsidR="00D214F9">
        <w:rPr>
          <w:rFonts w:ascii="Calibri" w:hAnsi="Calibri" w:cs="Calibri"/>
        </w:rPr>
        <w:t xml:space="preserve"> and </w:t>
      </w:r>
      <w:r w:rsidR="00083EFE">
        <w:rPr>
          <w:rFonts w:ascii="Calibri" w:hAnsi="Calibri" w:cs="Calibri"/>
        </w:rPr>
        <w:t xml:space="preserve">the </w:t>
      </w:r>
      <w:r w:rsidR="00083EFE">
        <w:rPr>
          <w:rFonts w:ascii="Calibri" w:hAnsi="Calibri" w:cs="Calibri"/>
          <w:i/>
          <w:iCs/>
        </w:rPr>
        <w:t>Rhodes Must Fall</w:t>
      </w:r>
      <w:r w:rsidR="00083EFE">
        <w:rPr>
          <w:rFonts w:ascii="Calibri" w:hAnsi="Calibri" w:cs="Calibri"/>
        </w:rPr>
        <w:t xml:space="preserve"> movement, in which students demanded that the Cecil Rhodes statue on display be removed for its problematic symbolism</w:t>
      </w:r>
      <w:r w:rsidR="00D214F9">
        <w:rPr>
          <w:rFonts w:ascii="Calibri" w:hAnsi="Calibri" w:cs="Calibri"/>
        </w:rPr>
        <w:t>.</w:t>
      </w:r>
      <w:r w:rsidR="00083EFE">
        <w:rPr>
          <w:rFonts w:ascii="Calibri" w:hAnsi="Calibri" w:cs="Calibri"/>
        </w:rPr>
        <w:t xml:space="preserve"> </w:t>
      </w:r>
      <w:r w:rsidR="00D214F9">
        <w:rPr>
          <w:rFonts w:ascii="Calibri" w:hAnsi="Calibri" w:cs="Calibri"/>
        </w:rPr>
        <w:t>T</w:t>
      </w:r>
      <w:r w:rsidR="00083EFE">
        <w:rPr>
          <w:rFonts w:ascii="Calibri" w:hAnsi="Calibri" w:cs="Calibri"/>
        </w:rPr>
        <w:t xml:space="preserve">he movement gained momentum via the </w:t>
      </w:r>
      <w:r w:rsidR="00083EFE">
        <w:rPr>
          <w:rFonts w:ascii="Calibri" w:hAnsi="Calibri" w:cs="Calibri"/>
          <w:i/>
          <w:iCs/>
        </w:rPr>
        <w:t>Rhodes Must Fall Oxford</w:t>
      </w:r>
      <w:r w:rsidR="00083EFE">
        <w:rPr>
          <w:rFonts w:ascii="Calibri" w:hAnsi="Calibri" w:cs="Calibri"/>
        </w:rPr>
        <w:t xml:space="preserve"> campaign</w:t>
      </w:r>
      <w:r w:rsidR="00556C19">
        <w:rPr>
          <w:rFonts w:ascii="Calibri" w:hAnsi="Calibri" w:cs="Calibri"/>
        </w:rPr>
        <w:t xml:space="preserve">, continuing as </w:t>
      </w:r>
      <w:hyperlink r:id="rId11" w:history="1">
        <w:r w:rsidR="00556C19" w:rsidRPr="00556C19">
          <w:rPr>
            <w:rStyle w:val="Hyperlink"/>
            <w:rFonts w:ascii="Calibri" w:hAnsi="Calibri" w:cs="Calibri"/>
          </w:rPr>
          <w:t>protesters joined in solidarity</w:t>
        </w:r>
      </w:hyperlink>
      <w:r w:rsidR="00556C19">
        <w:rPr>
          <w:rFonts w:ascii="Calibri" w:hAnsi="Calibri" w:cs="Calibri"/>
        </w:rPr>
        <w:t xml:space="preserve"> with black Americans following the killing of George Floyd in May 2020</w:t>
      </w:r>
      <w:r w:rsidR="00083EFE">
        <w:rPr>
          <w:rFonts w:ascii="Calibri" w:hAnsi="Calibri" w:cs="Calibri"/>
        </w:rPr>
        <w:t xml:space="preserve">. </w:t>
      </w:r>
      <w:r w:rsidR="00C806D9">
        <w:rPr>
          <w:rFonts w:ascii="Calibri" w:hAnsi="Calibri" w:cs="Calibri"/>
        </w:rPr>
        <w:t xml:space="preserve">The </w:t>
      </w:r>
      <w:r w:rsidR="00556C19">
        <w:rPr>
          <w:rFonts w:ascii="Calibri" w:hAnsi="Calibri" w:cs="Calibri"/>
        </w:rPr>
        <w:t xml:space="preserve">curriculum </w:t>
      </w:r>
      <w:r w:rsidR="00C806D9">
        <w:rPr>
          <w:rFonts w:ascii="Calibri" w:hAnsi="Calibri" w:cs="Calibri"/>
        </w:rPr>
        <w:t xml:space="preserve">issue raised </w:t>
      </w:r>
      <w:r w:rsidR="00556C19">
        <w:rPr>
          <w:rFonts w:ascii="Calibri" w:hAnsi="Calibri" w:cs="Calibri"/>
        </w:rPr>
        <w:t>was</w:t>
      </w:r>
      <w:r w:rsidR="00C806D9">
        <w:rPr>
          <w:rFonts w:ascii="Calibri" w:hAnsi="Calibri" w:cs="Calibri"/>
        </w:rPr>
        <w:t xml:space="preserve"> picked up by the National Union of Students in the </w:t>
      </w:r>
      <w:hyperlink r:id="rId12" w:history="1">
        <w:r w:rsidR="00C806D9" w:rsidRPr="00F451B5">
          <w:rPr>
            <w:rStyle w:val="Hyperlink"/>
            <w:rFonts w:ascii="Calibri" w:hAnsi="Calibri" w:cs="Calibri"/>
            <w:i/>
            <w:iCs/>
          </w:rPr>
          <w:t>Why Is My Curriculum White?</w:t>
        </w:r>
      </w:hyperlink>
      <w:r w:rsidR="00C806D9">
        <w:rPr>
          <w:rFonts w:ascii="Calibri" w:hAnsi="Calibri" w:cs="Calibri"/>
        </w:rPr>
        <w:t xml:space="preserve"> film and Mariya Hussain’s blog post of the same name. Gradually, the movement is spreading across the United Kingdom as a range of higher education institutions are reviewing their curricula, frequently at the demand of student unions.</w:t>
      </w:r>
    </w:p>
    <w:p w14:paraId="12692DF1" w14:textId="77777777" w:rsidR="00334391" w:rsidRDefault="00334391" w:rsidP="00DB16C5">
      <w:pPr>
        <w:spacing w:after="120"/>
        <w:ind w:left="567"/>
        <w:jc w:val="both"/>
        <w:rPr>
          <w:rFonts w:ascii="Calibri" w:hAnsi="Calibri" w:cs="Calibri"/>
        </w:rPr>
      </w:pPr>
    </w:p>
    <w:p w14:paraId="5B55FF36" w14:textId="4BCCFF41" w:rsidR="00D75682" w:rsidRDefault="00D75682" w:rsidP="00DB16C5">
      <w:pPr>
        <w:spacing w:after="120"/>
        <w:ind w:left="567"/>
        <w:jc w:val="both"/>
        <w:rPr>
          <w:rFonts w:ascii="Calibri" w:hAnsi="Calibri" w:cs="Calibri"/>
        </w:rPr>
      </w:pPr>
      <w:r>
        <w:rPr>
          <w:rFonts w:ascii="Calibri" w:hAnsi="Calibri" w:cs="Calibri"/>
        </w:rPr>
        <w:t xml:space="preserve">A definition can be drawn from Keele University’s </w:t>
      </w:r>
      <w:hyperlink r:id="rId13" w:anchor="keele-manifesto-for-decolonising-the-curriculum" w:history="1">
        <w:r w:rsidRPr="00745A26">
          <w:rPr>
            <w:rStyle w:val="Hyperlink"/>
          </w:rPr>
          <w:t>Decolonizing</w:t>
        </w:r>
        <w:r w:rsidRPr="00D75682">
          <w:rPr>
            <w:rStyle w:val="Hyperlink"/>
            <w:rFonts w:ascii="Calibri" w:hAnsi="Calibri" w:cs="Calibri"/>
          </w:rPr>
          <w:t xml:space="preserve"> the Curriculum Manifesto</w:t>
        </w:r>
      </w:hyperlink>
      <w:r>
        <w:rPr>
          <w:rFonts w:ascii="Calibri" w:hAnsi="Calibri" w:cs="Calibri"/>
        </w:rPr>
        <w:t xml:space="preserve">, which argues, </w:t>
      </w:r>
    </w:p>
    <w:p w14:paraId="51158369" w14:textId="40D8E1AA" w:rsidR="00D75682" w:rsidRPr="00C806D9" w:rsidRDefault="00D75682" w:rsidP="0042214C">
      <w:pPr>
        <w:spacing w:after="120"/>
        <w:ind w:left="1701" w:right="1325"/>
        <w:jc w:val="both"/>
        <w:rPr>
          <w:rFonts w:ascii="Calibri" w:hAnsi="Calibri" w:cs="Calibri"/>
        </w:rPr>
      </w:pPr>
      <w:r>
        <w:rPr>
          <w:rFonts w:ascii="Calibri" w:hAnsi="Calibri" w:cs="Calibri"/>
        </w:rPr>
        <w:t>‘</w:t>
      </w:r>
      <w:r w:rsidRPr="00D75682">
        <w:rPr>
          <w:rFonts w:ascii="Calibri" w:hAnsi="Calibri" w:cs="Calibri"/>
          <w:b/>
          <w:bCs/>
        </w:rPr>
        <w:t>decolonizing the curriculum means</w:t>
      </w:r>
      <w:r w:rsidRPr="00D75682">
        <w:rPr>
          <w:rFonts w:ascii="Calibri" w:hAnsi="Calibri" w:cs="Calibri"/>
        </w:rPr>
        <w:t xml:space="preserve"> creating spaces and resources for a dialogue among all members of the university on how to imagine and envision all cultures and knowledge systems in the curriculum, and with respect to what is being taught and how it frames the world.’</w:t>
      </w:r>
    </w:p>
    <w:p w14:paraId="50D9BA4D" w14:textId="77777777" w:rsidR="00334391" w:rsidRDefault="00334391" w:rsidP="00DB16C5">
      <w:pPr>
        <w:ind w:left="567"/>
        <w:jc w:val="both"/>
        <w:rPr>
          <w:rFonts w:ascii="Calibri" w:hAnsi="Calibri" w:cs="Calibri"/>
        </w:rPr>
      </w:pPr>
    </w:p>
    <w:p w14:paraId="3A14354F" w14:textId="2C0EDA4E" w:rsidR="0003149D" w:rsidRDefault="0003149D" w:rsidP="003F4EE3">
      <w:pPr>
        <w:ind w:left="567" w:right="333"/>
        <w:jc w:val="both"/>
        <w:rPr>
          <w:rFonts w:ascii="Calibri" w:hAnsi="Calibri" w:cs="Calibri"/>
        </w:rPr>
      </w:pPr>
      <w:r>
        <w:rPr>
          <w:rFonts w:ascii="Calibri" w:hAnsi="Calibri" w:cs="Calibri"/>
        </w:rPr>
        <w:t xml:space="preserve">A significant issue that affects higher education today is the lack of representation of black and minority ethnic groups, as the content of our universities’ curriculum is characterised by a colonial legacy in which the white, western intellectual tradition is seen as not merely superior, but universal. The move to decolonise the curriculum </w:t>
      </w:r>
      <w:r w:rsidR="00EE7717">
        <w:rPr>
          <w:rFonts w:ascii="Calibri" w:hAnsi="Calibri" w:cs="Calibri"/>
        </w:rPr>
        <w:t>aims for</w:t>
      </w:r>
      <w:r>
        <w:rPr>
          <w:rFonts w:ascii="Calibri" w:hAnsi="Calibri" w:cs="Calibri"/>
        </w:rPr>
        <w:t xml:space="preserve"> a fuller, richer and, ultimately, more truthful curriculum</w:t>
      </w:r>
      <w:r w:rsidR="00556C19">
        <w:rPr>
          <w:rFonts w:ascii="Calibri" w:hAnsi="Calibri" w:cs="Calibri"/>
        </w:rPr>
        <w:t xml:space="preserve"> – as Edward Said </w:t>
      </w:r>
      <w:hyperlink r:id="rId14" w:anchor="v=onepage&amp;q&amp;f=false" w:history="1">
        <w:r w:rsidR="00556C19" w:rsidRPr="00556C19">
          <w:rPr>
            <w:rStyle w:val="Hyperlink"/>
            <w:rFonts w:ascii="Calibri" w:hAnsi="Calibri" w:cs="Calibri"/>
          </w:rPr>
          <w:t>might call it</w:t>
        </w:r>
      </w:hyperlink>
      <w:r w:rsidR="00556C19">
        <w:rPr>
          <w:rFonts w:ascii="Calibri" w:hAnsi="Calibri" w:cs="Calibri"/>
        </w:rPr>
        <w:t>, ‘</w:t>
      </w:r>
      <w:r w:rsidR="004B01F5">
        <w:rPr>
          <w:rFonts w:ascii="Calibri" w:hAnsi="Calibri" w:cs="Calibri"/>
        </w:rPr>
        <w:t>worldliness</w:t>
      </w:r>
      <w:r w:rsidR="00556C19">
        <w:rPr>
          <w:rFonts w:ascii="Calibri" w:hAnsi="Calibri" w:cs="Calibri"/>
        </w:rPr>
        <w:t xml:space="preserve">,’ </w:t>
      </w:r>
      <w:r w:rsidR="00556C19">
        <w:t>or</w:t>
      </w:r>
      <w:r w:rsidR="00556C19" w:rsidRPr="001C6099">
        <w:rPr>
          <w:lang w:val="en-US"/>
        </w:rPr>
        <w:t xml:space="preserve"> </w:t>
      </w:r>
      <w:r w:rsidR="00556C19">
        <w:rPr>
          <w:lang w:val="en-US"/>
        </w:rPr>
        <w:t>‘</w:t>
      </w:r>
      <w:r w:rsidR="00556C19" w:rsidRPr="001C6099">
        <w:rPr>
          <w:lang w:val="en-US"/>
        </w:rPr>
        <w:t>the restoration to such works and interpretations of their place in the global setting, a restoration that can only be accomplished by an appreciation not of some tiny, defensively constituted corner of the world, but of the large, many-windowed house of human culture as a whole</w:t>
      </w:r>
      <w:r w:rsidR="00556C19">
        <w:rPr>
          <w:lang w:val="en-US"/>
        </w:rPr>
        <w:t xml:space="preserve">’ </w:t>
      </w:r>
    </w:p>
    <w:p w14:paraId="531176C4" w14:textId="77777777" w:rsidR="006077DD" w:rsidRDefault="006077DD" w:rsidP="00DB16C5">
      <w:pPr>
        <w:ind w:left="567"/>
        <w:jc w:val="both"/>
        <w:rPr>
          <w:rFonts w:ascii="Calibri" w:hAnsi="Calibri" w:cs="Calibri"/>
        </w:rPr>
      </w:pPr>
    </w:p>
    <w:p w14:paraId="537A0E94" w14:textId="77777777" w:rsidR="0042214C" w:rsidRDefault="0042214C">
      <w:pPr>
        <w:rPr>
          <w:rFonts w:ascii="Calibri" w:hAnsi="Calibri" w:cs="Calibri"/>
        </w:rPr>
      </w:pPr>
      <w:r>
        <w:rPr>
          <w:rFonts w:ascii="Calibri" w:hAnsi="Calibri" w:cs="Calibri"/>
        </w:rPr>
        <w:br w:type="page"/>
      </w:r>
    </w:p>
    <w:p w14:paraId="69B1B160" w14:textId="77777777" w:rsidR="0042214C" w:rsidRDefault="0042214C" w:rsidP="00334391">
      <w:pPr>
        <w:jc w:val="both"/>
        <w:rPr>
          <w:rFonts w:ascii="Calibri" w:hAnsi="Calibri" w:cs="Calibri"/>
        </w:rPr>
      </w:pPr>
    </w:p>
    <w:p w14:paraId="12D6C284" w14:textId="6FD8C2AF" w:rsidR="0003149D" w:rsidRDefault="0003149D" w:rsidP="00DB16C5">
      <w:pPr>
        <w:ind w:left="567"/>
        <w:jc w:val="both"/>
        <w:rPr>
          <w:rFonts w:ascii="Calibri" w:hAnsi="Calibri" w:cs="Calibri"/>
        </w:rPr>
      </w:pPr>
      <w:r>
        <w:rPr>
          <w:rFonts w:ascii="Calibri" w:hAnsi="Calibri" w:cs="Calibri"/>
        </w:rPr>
        <w:t xml:space="preserve">According to the </w:t>
      </w:r>
      <w:hyperlink r:id="rId15" w:history="1">
        <w:r w:rsidRPr="00D82FDD">
          <w:rPr>
            <w:rStyle w:val="Hyperlink"/>
            <w:rFonts w:ascii="Calibri" w:hAnsi="Calibri" w:cs="Calibri"/>
          </w:rPr>
          <w:t>2019 Innovating Pedagogy</w:t>
        </w:r>
      </w:hyperlink>
      <w:r>
        <w:rPr>
          <w:rFonts w:ascii="Calibri" w:hAnsi="Calibri" w:cs="Calibri"/>
        </w:rPr>
        <w:t xml:space="preserve"> report,  </w:t>
      </w:r>
    </w:p>
    <w:p w14:paraId="429AD95C" w14:textId="2613F8F1" w:rsidR="00FB419E" w:rsidRDefault="00D82FDD" w:rsidP="0042214C">
      <w:pPr>
        <w:ind w:left="1701" w:right="1325"/>
        <w:jc w:val="both"/>
        <w:rPr>
          <w:rFonts w:ascii="Calibri" w:hAnsi="Calibri" w:cs="Calibri"/>
        </w:rPr>
      </w:pPr>
      <w:r>
        <w:rPr>
          <w:rFonts w:ascii="Calibri" w:hAnsi="Calibri" w:cs="Calibri"/>
        </w:rPr>
        <w:t>‘</w:t>
      </w:r>
      <w:r w:rsidRPr="00D82FDD">
        <w:rPr>
          <w:rFonts w:ascii="Calibri" w:hAnsi="Calibri" w:cs="Calibri"/>
        </w:rPr>
        <w:t>As education has become increasingly global, communities have challenged the widespread assumption that the most valuable knowledge and the most valuable ways of teaching and learning come from a single European tradition</w:t>
      </w:r>
      <w:r w:rsidR="00FB419E">
        <w:rPr>
          <w:rFonts w:ascii="Calibri" w:hAnsi="Calibri" w:cs="Calibri"/>
        </w:rPr>
        <w:t xml:space="preserve"> … </w:t>
      </w:r>
      <w:r w:rsidRPr="00D82FDD">
        <w:rPr>
          <w:rFonts w:ascii="Calibri" w:hAnsi="Calibri" w:cs="Calibri"/>
          <w:b/>
          <w:bCs/>
        </w:rPr>
        <w:t>This isn’t simply about removing some content from the curriculum and replacing it with new content</w:t>
      </w:r>
      <w:r w:rsidRPr="00D82FDD">
        <w:rPr>
          <w:rFonts w:ascii="Calibri" w:hAnsi="Calibri" w:cs="Calibri"/>
        </w:rPr>
        <w:t xml:space="preserve"> – it’s about considering multiple perspectives and making space to think carefully about what we value</w:t>
      </w:r>
      <w:r w:rsidR="00FB419E">
        <w:rPr>
          <w:rFonts w:ascii="Calibri" w:hAnsi="Calibri" w:cs="Calibri"/>
        </w:rPr>
        <w:t xml:space="preserve"> …</w:t>
      </w:r>
      <w:r w:rsidRPr="00D82FDD">
        <w:rPr>
          <w:rFonts w:ascii="Calibri" w:hAnsi="Calibri" w:cs="Calibri"/>
        </w:rPr>
        <w:t xml:space="preserve"> It is an approach that includes indigenous knowledge and ways of learning, enabling students to explore themselves and their values and to define success on their own terms.</w:t>
      </w:r>
      <w:r>
        <w:rPr>
          <w:rFonts w:ascii="Calibri" w:hAnsi="Calibri" w:cs="Calibri"/>
        </w:rPr>
        <w:t>’</w:t>
      </w:r>
    </w:p>
    <w:p w14:paraId="379D7859" w14:textId="77777777" w:rsidR="0042214C" w:rsidRDefault="0042214C" w:rsidP="00334391">
      <w:pPr>
        <w:jc w:val="both"/>
        <w:rPr>
          <w:rFonts w:ascii="Calibri" w:hAnsi="Calibri" w:cs="Calibri"/>
        </w:rPr>
      </w:pPr>
    </w:p>
    <w:p w14:paraId="6A339BCC" w14:textId="622F317B" w:rsidR="006077DD" w:rsidRDefault="00F451B5" w:rsidP="00DB16C5">
      <w:pPr>
        <w:ind w:left="567"/>
        <w:jc w:val="both"/>
        <w:rPr>
          <w:rFonts w:ascii="Calibri" w:hAnsi="Calibri" w:cs="Calibri"/>
        </w:rPr>
      </w:pPr>
      <w:r>
        <w:rPr>
          <w:rFonts w:ascii="Calibri" w:hAnsi="Calibri" w:cs="Calibri"/>
        </w:rPr>
        <w:t>The</w:t>
      </w:r>
      <w:r w:rsidR="00FB419E">
        <w:rPr>
          <w:rFonts w:ascii="Calibri" w:hAnsi="Calibri" w:cs="Calibri"/>
        </w:rPr>
        <w:t xml:space="preserve"> </w:t>
      </w:r>
      <w:hyperlink r:id="rId16" w:history="1">
        <w:r w:rsidR="00FB419E" w:rsidRPr="006077DD">
          <w:rPr>
            <w:rStyle w:val="Hyperlink"/>
            <w:rFonts w:ascii="Calibri" w:hAnsi="Calibri" w:cs="Calibri"/>
          </w:rPr>
          <w:t>Decolonising SOAS</w:t>
        </w:r>
      </w:hyperlink>
      <w:r>
        <w:rPr>
          <w:rFonts w:ascii="Calibri" w:hAnsi="Calibri" w:cs="Calibri"/>
        </w:rPr>
        <w:t xml:space="preserve"> project highlights</w:t>
      </w:r>
      <w:r w:rsidR="00FB419E">
        <w:rPr>
          <w:rFonts w:ascii="Calibri" w:hAnsi="Calibri" w:cs="Calibri"/>
        </w:rPr>
        <w:t xml:space="preserve"> </w:t>
      </w:r>
      <w:r>
        <w:rPr>
          <w:rFonts w:ascii="Calibri" w:hAnsi="Calibri" w:cs="Calibri"/>
        </w:rPr>
        <w:t>the</w:t>
      </w:r>
      <w:r w:rsidR="006077DD">
        <w:rPr>
          <w:rFonts w:ascii="Calibri" w:hAnsi="Calibri" w:cs="Calibri"/>
        </w:rPr>
        <w:t xml:space="preserve"> three processes</w:t>
      </w:r>
      <w:r>
        <w:rPr>
          <w:rFonts w:ascii="Calibri" w:hAnsi="Calibri" w:cs="Calibri"/>
        </w:rPr>
        <w:t xml:space="preserve"> involved:</w:t>
      </w:r>
    </w:p>
    <w:p w14:paraId="7A1B47E9" w14:textId="15499641" w:rsidR="006077DD" w:rsidRPr="006077DD" w:rsidRDefault="006077DD" w:rsidP="003F4EE3">
      <w:pPr>
        <w:pStyle w:val="ListParagraph"/>
        <w:numPr>
          <w:ilvl w:val="0"/>
          <w:numId w:val="24"/>
        </w:numPr>
        <w:ind w:left="1134" w:right="333"/>
        <w:jc w:val="both"/>
        <w:rPr>
          <w:rFonts w:ascii="Calibri" w:hAnsi="Calibri" w:cs="Calibri"/>
        </w:rPr>
      </w:pPr>
      <w:r>
        <w:rPr>
          <w:rFonts w:ascii="Calibri" w:hAnsi="Calibri" w:cs="Calibri"/>
        </w:rPr>
        <w:t xml:space="preserve">A look at </w:t>
      </w:r>
      <w:r w:rsidRPr="006513DF">
        <w:rPr>
          <w:rFonts w:ascii="Calibri" w:hAnsi="Calibri" w:cs="Calibri"/>
          <w:b/>
          <w:bCs/>
        </w:rPr>
        <w:t>our shared assumptions about how the world is and how it worked</w:t>
      </w:r>
      <w:r>
        <w:rPr>
          <w:rFonts w:ascii="Calibri" w:hAnsi="Calibri" w:cs="Calibri"/>
        </w:rPr>
        <w:t>; while many colonial-era assumptions have been dismantled today, many continue to persist. For instance, while societies may no longer be described as ‘backward’ today, theories and practices of development continue to be based on this assumption. Is this justified?</w:t>
      </w:r>
    </w:p>
    <w:p w14:paraId="015911C7" w14:textId="2B7D8A83" w:rsidR="006077DD" w:rsidRDefault="006077DD" w:rsidP="003F4EE3">
      <w:pPr>
        <w:pStyle w:val="ListParagraph"/>
        <w:numPr>
          <w:ilvl w:val="0"/>
          <w:numId w:val="24"/>
        </w:numPr>
        <w:ind w:left="1134" w:right="333"/>
        <w:jc w:val="both"/>
        <w:rPr>
          <w:rFonts w:ascii="Calibri" w:hAnsi="Calibri" w:cs="Calibri"/>
        </w:rPr>
      </w:pPr>
      <w:r>
        <w:rPr>
          <w:rFonts w:ascii="Calibri" w:hAnsi="Calibri" w:cs="Calibri"/>
        </w:rPr>
        <w:t xml:space="preserve">A discussion on </w:t>
      </w:r>
      <w:r w:rsidRPr="006513DF">
        <w:rPr>
          <w:rFonts w:ascii="Calibri" w:hAnsi="Calibri" w:cs="Calibri"/>
          <w:b/>
          <w:bCs/>
        </w:rPr>
        <w:t>who writes, what they write about, and how they write about it</w:t>
      </w:r>
      <w:r>
        <w:rPr>
          <w:rFonts w:ascii="Calibri" w:hAnsi="Calibri" w:cs="Calibri"/>
        </w:rPr>
        <w:t xml:space="preserve">. </w:t>
      </w:r>
      <w:r w:rsidR="00EE7717">
        <w:rPr>
          <w:rFonts w:ascii="Calibri" w:hAnsi="Calibri" w:cs="Calibri"/>
        </w:rPr>
        <w:t>If it is not acceptable that writings and teachings on the situation of women and gender relations are done almost exclusively by men, how do we treat the fact that most writings about international regions or world affairs be done by those from, or based within, the West?</w:t>
      </w:r>
    </w:p>
    <w:p w14:paraId="48612708" w14:textId="2BB6C964" w:rsidR="006077DD" w:rsidRPr="00EE7717" w:rsidRDefault="00EE7717" w:rsidP="003F4EE3">
      <w:pPr>
        <w:pStyle w:val="ListParagraph"/>
        <w:numPr>
          <w:ilvl w:val="0"/>
          <w:numId w:val="24"/>
        </w:numPr>
        <w:ind w:left="1134" w:right="333"/>
        <w:jc w:val="both"/>
        <w:rPr>
          <w:rFonts w:ascii="Calibri" w:hAnsi="Calibri" w:cs="Calibri"/>
        </w:rPr>
      </w:pPr>
      <w:r>
        <w:rPr>
          <w:rFonts w:ascii="Calibri" w:hAnsi="Calibri" w:cs="Calibri"/>
        </w:rPr>
        <w:t xml:space="preserve">An understanding of </w:t>
      </w:r>
      <w:r w:rsidRPr="006513DF">
        <w:rPr>
          <w:rFonts w:ascii="Calibri" w:hAnsi="Calibri" w:cs="Calibri"/>
          <w:b/>
          <w:bCs/>
        </w:rPr>
        <w:t>the need to have a more diverse student body, in which all students have equal opportunity to flourish and succeed</w:t>
      </w:r>
      <w:r>
        <w:rPr>
          <w:rFonts w:ascii="Calibri" w:hAnsi="Calibri" w:cs="Calibri"/>
        </w:rPr>
        <w:t>. If BAME students report fears of alienation from particular topics or classroom dynamics, how do we address this as educators?</w:t>
      </w:r>
    </w:p>
    <w:p w14:paraId="2CF6025C" w14:textId="50D7E8BB" w:rsidR="006077DD" w:rsidRDefault="006077DD" w:rsidP="00DB16C5">
      <w:pPr>
        <w:ind w:left="567"/>
        <w:rPr>
          <w:b/>
          <w:bCs/>
          <w:sz w:val="30"/>
          <w:szCs w:val="30"/>
        </w:rPr>
      </w:pPr>
    </w:p>
    <w:p w14:paraId="0C8DD29F" w14:textId="06082933" w:rsidR="004B01F5" w:rsidRDefault="00334391" w:rsidP="00DB16C5">
      <w:pPr>
        <w:ind w:left="567"/>
        <w:rPr>
          <w:rFonts w:asciiTheme="majorHAnsi" w:eastAsiaTheme="majorEastAsia" w:hAnsiTheme="majorHAnsi" w:cstheme="majorBidi"/>
          <w:b/>
          <w:bCs/>
          <w:color w:val="2F5496" w:themeColor="accent1" w:themeShade="BF"/>
          <w:sz w:val="30"/>
          <w:szCs w:val="30"/>
        </w:rPr>
      </w:pPr>
      <w:r w:rsidRPr="00334391">
        <w:rPr>
          <w:rFonts w:ascii="Times New Roman" w:eastAsia="Times New Roman" w:hAnsi="Times New Roman" w:cs="Times New Roman"/>
          <w:noProof/>
          <w:lang w:eastAsia="en-GB"/>
        </w:rPr>
        <w:drawing>
          <wp:anchor distT="0" distB="0" distL="114300" distR="114300" simplePos="0" relativeHeight="251666432" behindDoc="0" locked="0" layoutInCell="1" allowOverlap="1" wp14:anchorId="2FAE46F8" wp14:editId="082E6860">
            <wp:simplePos x="0" y="0"/>
            <wp:positionH relativeFrom="column">
              <wp:posOffset>-739419</wp:posOffset>
            </wp:positionH>
            <wp:positionV relativeFrom="paragraph">
              <wp:posOffset>148160</wp:posOffset>
            </wp:positionV>
            <wp:extent cx="7803236" cy="3469670"/>
            <wp:effectExtent l="0" t="0" r="0" b="0"/>
            <wp:wrapNone/>
            <wp:docPr id="9" name="Picture 9" descr="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803236" cy="34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55682" w14:textId="157F6039" w:rsidR="00334391" w:rsidRPr="00334391" w:rsidRDefault="00334391" w:rsidP="00334391">
      <w:pPr>
        <w:rPr>
          <w:rFonts w:ascii="Times New Roman" w:eastAsia="Times New Roman" w:hAnsi="Times New Roman" w:cs="Times New Roman"/>
          <w:lang w:eastAsia="en-GB"/>
        </w:rPr>
      </w:pPr>
      <w:r w:rsidRPr="00334391">
        <w:rPr>
          <w:rFonts w:ascii="Times New Roman" w:eastAsia="Times New Roman" w:hAnsi="Times New Roman" w:cs="Times New Roman"/>
          <w:lang w:eastAsia="en-GB"/>
        </w:rPr>
        <w:fldChar w:fldCharType="begin"/>
      </w:r>
      <w:r w:rsidRPr="00334391">
        <w:rPr>
          <w:rFonts w:ascii="Times New Roman" w:eastAsia="Times New Roman" w:hAnsi="Times New Roman" w:cs="Times New Roman"/>
          <w:lang w:eastAsia="en-GB"/>
        </w:rPr>
        <w:instrText xml:space="preserve"> INCLUDEPICTURE "/var/folders/mk/9lx661cs1yj2prl2gpvw69_80000gn/T/com.microsoft.Word/WebArchiveCopyPasteTempFiles/Summer.png" \* MERGEFORMATINET </w:instrText>
      </w:r>
      <w:r w:rsidRPr="00334391">
        <w:rPr>
          <w:rFonts w:ascii="Times New Roman" w:eastAsia="Times New Roman" w:hAnsi="Times New Roman" w:cs="Times New Roman"/>
          <w:lang w:eastAsia="en-GB"/>
        </w:rPr>
        <w:fldChar w:fldCharType="end"/>
      </w:r>
    </w:p>
    <w:p w14:paraId="22611078" w14:textId="45639096" w:rsidR="004B01F5" w:rsidRDefault="004B01F5" w:rsidP="00DB16C5">
      <w:pPr>
        <w:ind w:left="567"/>
        <w:rPr>
          <w:rFonts w:asciiTheme="majorHAnsi" w:eastAsiaTheme="majorEastAsia" w:hAnsiTheme="majorHAnsi" w:cstheme="majorBidi"/>
          <w:b/>
          <w:bCs/>
          <w:color w:val="2F5496" w:themeColor="accent1" w:themeShade="BF"/>
          <w:sz w:val="30"/>
          <w:szCs w:val="30"/>
        </w:rPr>
      </w:pPr>
      <w:r>
        <w:rPr>
          <w:b/>
          <w:bCs/>
          <w:sz w:val="30"/>
          <w:szCs w:val="30"/>
        </w:rPr>
        <w:br w:type="page"/>
      </w:r>
    </w:p>
    <w:p w14:paraId="5EA17BBA" w14:textId="1FAF63E8" w:rsidR="00933EA1" w:rsidRPr="00334391" w:rsidRDefault="00933EA1" w:rsidP="00334391">
      <w:pPr>
        <w:pStyle w:val="Heading2"/>
        <w:spacing w:after="120"/>
        <w:ind w:firstLine="567"/>
        <w:rPr>
          <w:b/>
          <w:bCs/>
          <w:color w:val="588392"/>
          <w:sz w:val="30"/>
          <w:szCs w:val="30"/>
        </w:rPr>
      </w:pPr>
      <w:bookmarkStart w:id="3" w:name="_Toc49932065"/>
      <w:bookmarkStart w:id="4" w:name="_Toc50019536"/>
      <w:r w:rsidRPr="00334391">
        <w:rPr>
          <w:b/>
          <w:bCs/>
          <w:color w:val="588392"/>
          <w:sz w:val="30"/>
          <w:szCs w:val="30"/>
        </w:rPr>
        <w:t xml:space="preserve">Why </w:t>
      </w:r>
      <w:r w:rsidR="004462D8">
        <w:rPr>
          <w:b/>
          <w:bCs/>
          <w:color w:val="588392"/>
          <w:sz w:val="30"/>
          <w:szCs w:val="30"/>
        </w:rPr>
        <w:t>s</w:t>
      </w:r>
      <w:r w:rsidRPr="00334391">
        <w:rPr>
          <w:b/>
          <w:bCs/>
          <w:color w:val="588392"/>
          <w:sz w:val="30"/>
          <w:szCs w:val="30"/>
        </w:rPr>
        <w:t xml:space="preserve">hould </w:t>
      </w:r>
      <w:r w:rsidR="004462D8">
        <w:rPr>
          <w:b/>
          <w:bCs/>
          <w:color w:val="588392"/>
          <w:sz w:val="30"/>
          <w:szCs w:val="30"/>
        </w:rPr>
        <w:t>w</w:t>
      </w:r>
      <w:r w:rsidRPr="00334391">
        <w:rPr>
          <w:b/>
          <w:bCs/>
          <w:color w:val="588392"/>
          <w:sz w:val="30"/>
          <w:szCs w:val="30"/>
        </w:rPr>
        <w:t xml:space="preserve">e </w:t>
      </w:r>
      <w:r w:rsidR="004462D8">
        <w:rPr>
          <w:b/>
          <w:bCs/>
          <w:color w:val="588392"/>
          <w:sz w:val="30"/>
          <w:szCs w:val="30"/>
        </w:rPr>
        <w:t>d</w:t>
      </w:r>
      <w:r w:rsidRPr="00334391">
        <w:rPr>
          <w:b/>
          <w:bCs/>
          <w:color w:val="588392"/>
          <w:sz w:val="30"/>
          <w:szCs w:val="30"/>
        </w:rPr>
        <w:t xml:space="preserve">ecolonise the </w:t>
      </w:r>
      <w:r w:rsidR="004462D8">
        <w:rPr>
          <w:b/>
          <w:bCs/>
          <w:color w:val="588392"/>
          <w:sz w:val="30"/>
          <w:szCs w:val="30"/>
        </w:rPr>
        <w:t>c</w:t>
      </w:r>
      <w:r w:rsidRPr="00334391">
        <w:rPr>
          <w:b/>
          <w:bCs/>
          <w:color w:val="588392"/>
          <w:sz w:val="30"/>
          <w:szCs w:val="30"/>
        </w:rPr>
        <w:t>urriculum?</w:t>
      </w:r>
      <w:bookmarkEnd w:id="3"/>
      <w:bookmarkEnd w:id="4"/>
    </w:p>
    <w:p w14:paraId="0E00805E" w14:textId="4CD340C3" w:rsidR="00F451B5" w:rsidRPr="00864090" w:rsidRDefault="00F451B5" w:rsidP="00DB16C5">
      <w:pPr>
        <w:ind w:left="567"/>
        <w:rPr>
          <w:rFonts w:ascii="Calibri" w:hAnsi="Calibri" w:cs="Calibri"/>
        </w:rPr>
      </w:pPr>
      <w:r w:rsidRPr="00864090">
        <w:rPr>
          <w:rFonts w:ascii="Calibri" w:hAnsi="Calibri" w:cs="Calibri"/>
        </w:rPr>
        <w:t xml:space="preserve">The move to </w:t>
      </w:r>
      <w:r w:rsidR="004462D8">
        <w:rPr>
          <w:rFonts w:ascii="Calibri" w:hAnsi="Calibri" w:cs="Calibri"/>
        </w:rPr>
        <w:t>d</w:t>
      </w:r>
      <w:r w:rsidRPr="00864090">
        <w:rPr>
          <w:rFonts w:ascii="Calibri" w:hAnsi="Calibri" w:cs="Calibri"/>
        </w:rPr>
        <w:t xml:space="preserve">ecolonise the </w:t>
      </w:r>
      <w:r w:rsidR="004462D8">
        <w:rPr>
          <w:rFonts w:ascii="Calibri" w:hAnsi="Calibri" w:cs="Calibri"/>
        </w:rPr>
        <w:t>c</w:t>
      </w:r>
      <w:r w:rsidRPr="00864090">
        <w:rPr>
          <w:rFonts w:ascii="Calibri" w:hAnsi="Calibri" w:cs="Calibri"/>
        </w:rPr>
        <w:t>urriculum is important on a number of levels</w:t>
      </w:r>
      <w:r w:rsidR="00D4167B" w:rsidRPr="00864090">
        <w:rPr>
          <w:rFonts w:ascii="Calibri" w:hAnsi="Calibri" w:cs="Calibri"/>
        </w:rPr>
        <w:t>:</w:t>
      </w:r>
    </w:p>
    <w:p w14:paraId="4977FDDC" w14:textId="77777777" w:rsidR="00F451B5" w:rsidRPr="00864090" w:rsidRDefault="00F451B5" w:rsidP="00DB16C5">
      <w:pPr>
        <w:ind w:left="567"/>
        <w:rPr>
          <w:rFonts w:ascii="Calibri" w:hAnsi="Calibri" w:cs="Calibri"/>
        </w:rPr>
      </w:pPr>
    </w:p>
    <w:p w14:paraId="71E36146" w14:textId="239667AC" w:rsidR="00556C19" w:rsidRPr="00864090" w:rsidRDefault="000C1D16" w:rsidP="003F4EE3">
      <w:pPr>
        <w:pStyle w:val="ListParagraph"/>
        <w:numPr>
          <w:ilvl w:val="0"/>
          <w:numId w:val="27"/>
        </w:numPr>
        <w:ind w:left="1134" w:right="333"/>
        <w:jc w:val="both"/>
        <w:rPr>
          <w:rFonts w:ascii="Calibri" w:hAnsi="Calibri" w:cs="Calibri"/>
        </w:rPr>
      </w:pPr>
      <w:r w:rsidRPr="00864090">
        <w:rPr>
          <w:rFonts w:ascii="Calibri" w:hAnsi="Calibri" w:cs="Calibri"/>
        </w:rPr>
        <w:t xml:space="preserve">Firstly, </w:t>
      </w:r>
      <w:r w:rsidR="00556C19" w:rsidRPr="00864090">
        <w:rPr>
          <w:rFonts w:ascii="Calibri" w:hAnsi="Calibri" w:cs="Calibri"/>
          <w:b/>
          <w:bCs/>
        </w:rPr>
        <w:t>an educational level</w:t>
      </w:r>
      <w:r w:rsidR="00556C19" w:rsidRPr="00864090">
        <w:rPr>
          <w:rFonts w:ascii="Calibri" w:hAnsi="Calibri" w:cs="Calibri"/>
        </w:rPr>
        <w:t>: an inclusive curriculum means a richer curriculum, as it allows for the development of new ways of approaching knowledge while also prompting us to review how we do research and think. At the same time, such an intellectual transformation would make all students feel included. The BAME attainment gap is a significant concern and is linked to the fact that our curricula do not reflect the cultural and social backgrounds of all students studying at our institution.</w:t>
      </w:r>
    </w:p>
    <w:p w14:paraId="4D9DC2DE" w14:textId="2A1CFD69" w:rsidR="00AB4F59" w:rsidRPr="00864090" w:rsidRDefault="00556C19" w:rsidP="003F4EE3">
      <w:pPr>
        <w:pStyle w:val="ListParagraph"/>
        <w:numPr>
          <w:ilvl w:val="0"/>
          <w:numId w:val="27"/>
        </w:numPr>
        <w:ind w:left="1134" w:right="333"/>
        <w:jc w:val="both"/>
        <w:rPr>
          <w:rFonts w:ascii="Calibri" w:hAnsi="Calibri" w:cs="Calibri"/>
        </w:rPr>
      </w:pPr>
      <w:r w:rsidRPr="00864090">
        <w:rPr>
          <w:rFonts w:ascii="Calibri" w:hAnsi="Calibri" w:cs="Calibri"/>
        </w:rPr>
        <w:t xml:space="preserve">Secondly, </w:t>
      </w:r>
      <w:r w:rsidR="000C1D16" w:rsidRPr="00864090">
        <w:rPr>
          <w:rFonts w:ascii="Calibri" w:hAnsi="Calibri" w:cs="Calibri"/>
          <w:b/>
          <w:bCs/>
        </w:rPr>
        <w:t>a psychological level</w:t>
      </w:r>
      <w:r w:rsidR="000C1D16" w:rsidRPr="00864090">
        <w:rPr>
          <w:rFonts w:ascii="Calibri" w:hAnsi="Calibri" w:cs="Calibri"/>
        </w:rPr>
        <w:t>: b</w:t>
      </w:r>
      <w:r w:rsidR="00F451B5" w:rsidRPr="00864090">
        <w:rPr>
          <w:rFonts w:ascii="Calibri" w:hAnsi="Calibri" w:cs="Calibri"/>
        </w:rPr>
        <w:t xml:space="preserve">y </w:t>
      </w:r>
      <w:r w:rsidR="00AB4F59" w:rsidRPr="00864090">
        <w:rPr>
          <w:rFonts w:ascii="Calibri" w:hAnsi="Calibri" w:cs="Calibri"/>
        </w:rPr>
        <w:t xml:space="preserve">prioritising the white, Global North intellectual tradition, we marginalise the contributions of others. </w:t>
      </w:r>
      <w:r w:rsidRPr="00864090">
        <w:rPr>
          <w:rFonts w:ascii="Calibri" w:hAnsi="Calibri" w:cs="Calibri"/>
        </w:rPr>
        <w:t xml:space="preserve">In terms of student experiences, </w:t>
      </w:r>
      <w:r w:rsidR="00AB4F59" w:rsidRPr="00864090">
        <w:rPr>
          <w:rFonts w:ascii="Calibri" w:hAnsi="Calibri" w:cs="Calibri"/>
        </w:rPr>
        <w:t xml:space="preserve">BAME students </w:t>
      </w:r>
      <w:r w:rsidR="000C1D16" w:rsidRPr="00864090">
        <w:rPr>
          <w:rFonts w:ascii="Calibri" w:hAnsi="Calibri" w:cs="Calibri"/>
        </w:rPr>
        <w:t>are</w:t>
      </w:r>
      <w:r w:rsidR="00AB4F59" w:rsidRPr="00864090">
        <w:rPr>
          <w:rFonts w:ascii="Calibri" w:hAnsi="Calibri" w:cs="Calibri"/>
        </w:rPr>
        <w:t xml:space="preserve"> under-stimulated by the content of our teaching. </w:t>
      </w:r>
      <w:r w:rsidR="000C1D16" w:rsidRPr="00864090">
        <w:rPr>
          <w:rFonts w:ascii="Calibri" w:hAnsi="Calibri" w:cs="Calibri"/>
        </w:rPr>
        <w:t>Research has linked a lack of representative teaching to feelings of alienation, isolation.</w:t>
      </w:r>
    </w:p>
    <w:p w14:paraId="13915C23" w14:textId="77777777" w:rsidR="00D4167B" w:rsidRPr="00864090" w:rsidRDefault="000C1D16" w:rsidP="003F4EE3">
      <w:pPr>
        <w:pStyle w:val="ListParagraph"/>
        <w:numPr>
          <w:ilvl w:val="0"/>
          <w:numId w:val="27"/>
        </w:numPr>
        <w:ind w:left="1134" w:right="333"/>
        <w:jc w:val="both"/>
        <w:rPr>
          <w:rFonts w:ascii="Calibri" w:hAnsi="Calibri" w:cs="Calibri"/>
        </w:rPr>
      </w:pPr>
      <w:r w:rsidRPr="00864090">
        <w:rPr>
          <w:rFonts w:ascii="Calibri" w:hAnsi="Calibri" w:cs="Calibri"/>
        </w:rPr>
        <w:t xml:space="preserve">Thirdly, </w:t>
      </w:r>
      <w:r w:rsidRPr="00864090">
        <w:rPr>
          <w:rFonts w:ascii="Calibri" w:hAnsi="Calibri" w:cs="Calibri"/>
          <w:b/>
          <w:bCs/>
        </w:rPr>
        <w:t>a societal level</w:t>
      </w:r>
      <w:r w:rsidRPr="00864090">
        <w:rPr>
          <w:rFonts w:ascii="Calibri" w:hAnsi="Calibri" w:cs="Calibri"/>
        </w:rPr>
        <w:t>: i</w:t>
      </w:r>
      <w:r w:rsidR="00AB4F59" w:rsidRPr="00864090">
        <w:rPr>
          <w:rFonts w:ascii="Calibri" w:hAnsi="Calibri" w:cs="Calibri"/>
        </w:rPr>
        <w:t xml:space="preserve">t is dubious whether any of the world challenges we face today can be addressed via Eurocentric practices or models. </w:t>
      </w:r>
      <w:r w:rsidRPr="00864090">
        <w:rPr>
          <w:rFonts w:ascii="Calibri" w:hAnsi="Calibri" w:cs="Calibri"/>
        </w:rPr>
        <w:t xml:space="preserve">At the same time, </w:t>
      </w:r>
      <w:r w:rsidR="00D4167B" w:rsidRPr="00864090">
        <w:rPr>
          <w:rFonts w:ascii="Calibri" w:hAnsi="Calibri" w:cs="Calibri"/>
        </w:rPr>
        <w:t xml:space="preserve">the white-washing of controversial or problematic figures has a distinct repercussion beyond academia: it impacts the way students continue to uphold or challenge toxic social and political practices. </w:t>
      </w:r>
    </w:p>
    <w:p w14:paraId="0E350FCA" w14:textId="77777777" w:rsidR="00D4167B" w:rsidRPr="00864090" w:rsidRDefault="00D4167B" w:rsidP="003F4EE3">
      <w:pPr>
        <w:ind w:right="333"/>
        <w:jc w:val="both"/>
        <w:rPr>
          <w:rFonts w:ascii="Calibri" w:hAnsi="Calibri" w:cs="Calibri"/>
        </w:rPr>
      </w:pPr>
    </w:p>
    <w:p w14:paraId="5D83FD8B" w14:textId="76AF1203" w:rsidR="00D4167B" w:rsidRPr="00864090" w:rsidRDefault="00D4167B" w:rsidP="003F4EE3">
      <w:pPr>
        <w:ind w:left="567" w:right="333"/>
        <w:jc w:val="both"/>
        <w:rPr>
          <w:rFonts w:ascii="Calibri" w:hAnsi="Calibri" w:cs="Calibri"/>
        </w:rPr>
      </w:pPr>
      <w:r w:rsidRPr="00864090">
        <w:rPr>
          <w:rFonts w:ascii="Calibri" w:hAnsi="Calibri" w:cs="Calibri"/>
        </w:rPr>
        <w:t xml:space="preserve">In February 2019, we ran </w:t>
      </w:r>
      <w:r w:rsidR="00A965B4" w:rsidRPr="00864090">
        <w:rPr>
          <w:rFonts w:ascii="Calibri" w:hAnsi="Calibri" w:cs="Calibri"/>
        </w:rPr>
        <w:t>a number of</w:t>
      </w:r>
      <w:r w:rsidRPr="00864090">
        <w:rPr>
          <w:rFonts w:ascii="Calibri" w:hAnsi="Calibri" w:cs="Calibri"/>
        </w:rPr>
        <w:t xml:space="preserve"> focus groups with POLSIS UG BAME students, covering a range of issues, including their views on the curriculum. </w:t>
      </w:r>
      <w:r w:rsidR="00334391" w:rsidRPr="00864090">
        <w:rPr>
          <w:rFonts w:ascii="Calibri" w:hAnsi="Calibri" w:cs="Calibri"/>
        </w:rPr>
        <w:t>Some of the things they highlighted:</w:t>
      </w:r>
    </w:p>
    <w:p w14:paraId="425FA1C2" w14:textId="422A8C00" w:rsidR="00EB7929" w:rsidRPr="00864090" w:rsidRDefault="00EB7929" w:rsidP="003F4EE3">
      <w:pPr>
        <w:pStyle w:val="ListParagraph"/>
        <w:numPr>
          <w:ilvl w:val="0"/>
          <w:numId w:val="28"/>
        </w:numPr>
        <w:ind w:left="1134" w:right="333"/>
        <w:jc w:val="both"/>
        <w:rPr>
          <w:rFonts w:ascii="Calibri" w:hAnsi="Calibri" w:cs="Calibri"/>
        </w:rPr>
      </w:pPr>
      <w:r w:rsidRPr="00864090">
        <w:rPr>
          <w:rFonts w:ascii="Calibri" w:hAnsi="Calibri" w:cs="Calibri"/>
        </w:rPr>
        <w:t>“</w:t>
      </w:r>
      <w:r w:rsidRPr="00864090">
        <w:rPr>
          <w:rFonts w:ascii="Calibri" w:hAnsi="Calibri" w:cs="Calibri"/>
          <w:i/>
          <w:iCs/>
        </w:rPr>
        <w:t>I don’t think there is enough on race… but race would come up as a subsection of the lecture... Be like two lines, maybe half a page of reading or something. I just don’t think it’s enough, especially if we’re talking about politics and political subjects. Maybe I’m biased because I’m black, but I think race plays a huge part in international relations and politics and it’s definitely not addressed enough. Most of the knowledge I have about race in international relations is because I</w:t>
      </w:r>
      <w:r w:rsidR="004462D8">
        <w:rPr>
          <w:rFonts w:ascii="Calibri" w:hAnsi="Calibri" w:cs="Calibri"/>
          <w:i/>
          <w:iCs/>
        </w:rPr>
        <w:t xml:space="preserve"> went </w:t>
      </w:r>
      <w:r w:rsidRPr="00864090">
        <w:rPr>
          <w:rFonts w:ascii="Calibri" w:hAnsi="Calibri" w:cs="Calibri"/>
          <w:i/>
          <w:iCs/>
        </w:rPr>
        <w:t>out of my way to do that, to read myself</w:t>
      </w:r>
      <w:r w:rsidRPr="00864090">
        <w:rPr>
          <w:rFonts w:ascii="Calibri" w:hAnsi="Calibri" w:cs="Calibri"/>
        </w:rPr>
        <w:t>.”</w:t>
      </w:r>
    </w:p>
    <w:p w14:paraId="7D63DEDB" w14:textId="6736F4F1" w:rsidR="00D4167B" w:rsidRPr="00864090" w:rsidRDefault="00D4167B" w:rsidP="003F4EE3">
      <w:pPr>
        <w:pStyle w:val="ListParagraph"/>
        <w:numPr>
          <w:ilvl w:val="0"/>
          <w:numId w:val="28"/>
        </w:numPr>
        <w:ind w:left="1134" w:right="333"/>
        <w:jc w:val="both"/>
        <w:rPr>
          <w:rFonts w:ascii="Calibri" w:hAnsi="Calibri" w:cs="Calibri"/>
        </w:rPr>
      </w:pPr>
      <w:r w:rsidRPr="00864090">
        <w:rPr>
          <w:rFonts w:ascii="Calibri" w:hAnsi="Calibri" w:cs="Calibri"/>
        </w:rPr>
        <w:t>“</w:t>
      </w:r>
      <w:r w:rsidRPr="00864090">
        <w:rPr>
          <w:rFonts w:ascii="Calibri" w:hAnsi="Calibri" w:cs="Calibri"/>
          <w:i/>
          <w:iCs/>
        </w:rPr>
        <w:t>From reading lists, that I’ve noticed there’s nothing really by ethnic minorities or from anywhere else than basically just Europe. There’s no intersectional authors either, so like no black women, not that I’ve noticed, or Asian women, or Asian men or black men on reading lists. There’s so much literature out there. Why isn’t it in the handbook?... It’s never the required reading, it will just be additional a lot of the time</w:t>
      </w:r>
      <w:r w:rsidRPr="00864090">
        <w:rPr>
          <w:rFonts w:ascii="Calibri" w:hAnsi="Calibri" w:cs="Calibri"/>
        </w:rPr>
        <w:t>”</w:t>
      </w:r>
    </w:p>
    <w:p w14:paraId="6919E180" w14:textId="77777777" w:rsidR="003F4EE3" w:rsidRPr="003F4EE3" w:rsidRDefault="00A965B4" w:rsidP="003F4EE3">
      <w:pPr>
        <w:pStyle w:val="ListParagraph"/>
        <w:numPr>
          <w:ilvl w:val="0"/>
          <w:numId w:val="28"/>
        </w:numPr>
        <w:ind w:left="1134" w:right="333"/>
        <w:jc w:val="both"/>
        <w:rPr>
          <w:rFonts w:ascii="Calibri" w:hAnsi="Calibri" w:cs="Calibri"/>
        </w:rPr>
      </w:pPr>
      <w:r w:rsidRPr="00864090">
        <w:rPr>
          <w:rFonts w:ascii="Calibri" w:hAnsi="Calibri" w:cs="Calibri"/>
        </w:rPr>
        <w:t>“</w:t>
      </w:r>
      <w:r w:rsidRPr="00864090">
        <w:rPr>
          <w:rFonts w:ascii="Calibri" w:hAnsi="Calibri" w:cs="Calibri"/>
          <w:i/>
          <w:iCs/>
        </w:rPr>
        <w:t>It'll just be like ‘Oh, and ethnic minorities suffer the same as women as well,’ and it's just like ‘Wait! Is that all we're getting?’ It's really good that they're addressing women in both Politics and Philosophy predominantly, but then ethnic minorities don't get the same thing. If women can have a whole lecture, then why can't ethnic minorities? But then at the same time I think it needs to be embedded into all our lectures‚ maybe one reading on a person of colour's book? Like it doesn't even have to be to do with race. It could be to do with conservatism, it could be to do with liberalism, just have that as a required reading</w:t>
      </w:r>
      <w:r w:rsidRPr="00864090">
        <w:rPr>
          <w:rFonts w:ascii="Calibri" w:hAnsi="Calibri" w:cs="Calibri"/>
        </w:rPr>
        <w:t>.”</w:t>
      </w:r>
      <w:bookmarkStart w:id="5" w:name="_Toc49932066"/>
    </w:p>
    <w:p w14:paraId="7CB272B5" w14:textId="7AE91DD9" w:rsidR="009C6FFC" w:rsidRDefault="009C6FFC" w:rsidP="009C6FFC">
      <w:pPr>
        <w:pStyle w:val="Heading2"/>
        <w:numPr>
          <w:ilvl w:val="0"/>
          <w:numId w:val="45"/>
        </w:numPr>
        <w:spacing w:after="120"/>
        <w:rPr>
          <w:rFonts w:ascii="Calibri" w:hAnsi="Calibri" w:cs="Calibri"/>
          <w:b/>
          <w:bCs/>
          <w:color w:val="FFFFFF" w:themeColor="background1"/>
          <w:sz w:val="32"/>
          <w:szCs w:val="32"/>
        </w:rPr>
      </w:pPr>
      <w:bookmarkStart w:id="6" w:name="_Toc50019537"/>
      <w:r w:rsidRPr="00970DF8">
        <w:rPr>
          <w:noProof/>
          <w:lang w:eastAsia="en-GB"/>
        </w:rPr>
        <w:drawing>
          <wp:anchor distT="0" distB="0" distL="114300" distR="114300" simplePos="0" relativeHeight="251678720" behindDoc="0" locked="0" layoutInCell="1" allowOverlap="1" wp14:anchorId="0E4B8D81" wp14:editId="6E776744">
            <wp:simplePos x="0" y="0"/>
            <wp:positionH relativeFrom="column">
              <wp:posOffset>-142240</wp:posOffset>
            </wp:positionH>
            <wp:positionV relativeFrom="paragraph">
              <wp:posOffset>567211</wp:posOffset>
            </wp:positionV>
            <wp:extent cx="6736715" cy="2707005"/>
            <wp:effectExtent l="0" t="0" r="6985" b="10795"/>
            <wp:wrapThrough wrapText="bothSides">
              <wp:wrapPolygon edited="0">
                <wp:start x="0" y="0"/>
                <wp:lineTo x="0" y="21585"/>
                <wp:lineTo x="21582" y="21585"/>
                <wp:lineTo x="21582" y="0"/>
                <wp:lineTo x="0" y="0"/>
              </wp:wrapPolygon>
            </wp:wrapThrough>
            <wp:docPr id="17" name="Chart 17">
              <a:extLst xmlns:a="http://schemas.openxmlformats.org/drawingml/2006/main">
                <a:ext uri="{FF2B5EF4-FFF2-40B4-BE49-F238E27FC236}">
                  <a16:creationId xmlns:a16="http://schemas.microsoft.com/office/drawing/2014/main" id="{B95CA80C-6C88-4211-BD29-89A39DB2C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8E1657" w:rsidRPr="009C6FFC">
        <w:rPr>
          <w:rFonts w:ascii="Calibri" w:hAnsi="Calibri" w:cs="Calibri"/>
          <w:b/>
          <w:bCs/>
          <w:noProof/>
          <w:color w:val="FFFFFF" w:themeColor="background1"/>
          <w:sz w:val="32"/>
          <w:szCs w:val="32"/>
          <w:lang w:eastAsia="en-GB"/>
        </w:rPr>
        <w:drawing>
          <wp:anchor distT="0" distB="0" distL="114300" distR="114300" simplePos="0" relativeHeight="251674624" behindDoc="1" locked="0" layoutInCell="1" allowOverlap="1" wp14:anchorId="4C38EA5E" wp14:editId="5EA0068F">
            <wp:simplePos x="0" y="0"/>
            <wp:positionH relativeFrom="column">
              <wp:posOffset>-745969</wp:posOffset>
            </wp:positionH>
            <wp:positionV relativeFrom="paragraph">
              <wp:posOffset>-1787896</wp:posOffset>
            </wp:positionV>
            <wp:extent cx="7856855" cy="10850880"/>
            <wp:effectExtent l="0" t="0" r="4445" b="0"/>
            <wp:wrapNone/>
            <wp:docPr id="1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6855" cy="10850880"/>
                    </a:xfrm>
                    <a:prstGeom prst="rect">
                      <a:avLst/>
                    </a:prstGeom>
                    <a:noFill/>
                  </pic:spPr>
                </pic:pic>
              </a:graphicData>
            </a:graphic>
            <wp14:sizeRelH relativeFrom="page">
              <wp14:pctWidth>0</wp14:pctWidth>
            </wp14:sizeRelH>
            <wp14:sizeRelV relativeFrom="page">
              <wp14:pctHeight>0</wp14:pctHeight>
            </wp14:sizeRelV>
          </wp:anchor>
        </w:drawing>
      </w:r>
      <w:r w:rsidR="004B2B16">
        <w:rPr>
          <w:rFonts w:ascii="Calibri" w:hAnsi="Calibri" w:cs="Calibri"/>
          <w:b/>
          <w:bCs/>
          <w:color w:val="FFFFFF" w:themeColor="background1"/>
          <w:sz w:val="32"/>
          <w:szCs w:val="32"/>
        </w:rPr>
        <w:t>[As a BAME student</w:t>
      </w:r>
      <w:r w:rsidR="00745A26">
        <w:rPr>
          <w:rFonts w:ascii="Calibri" w:hAnsi="Calibri" w:cs="Calibri"/>
          <w:b/>
          <w:bCs/>
          <w:color w:val="FFFFFF" w:themeColor="background1"/>
          <w:sz w:val="32"/>
          <w:szCs w:val="32"/>
        </w:rPr>
        <w:t>,</w:t>
      </w:r>
      <w:r w:rsidR="004B2B16">
        <w:rPr>
          <w:rFonts w:ascii="Calibri" w:hAnsi="Calibri" w:cs="Calibri"/>
          <w:b/>
          <w:bCs/>
          <w:color w:val="FFFFFF" w:themeColor="background1"/>
          <w:sz w:val="32"/>
          <w:szCs w:val="32"/>
        </w:rPr>
        <w:t xml:space="preserve">] </w:t>
      </w:r>
      <w:r w:rsidRPr="009C6FFC">
        <w:rPr>
          <w:rFonts w:ascii="Calibri" w:hAnsi="Calibri" w:cs="Calibri"/>
          <w:b/>
          <w:bCs/>
          <w:color w:val="FFFFFF" w:themeColor="background1"/>
          <w:sz w:val="32"/>
          <w:szCs w:val="32"/>
        </w:rPr>
        <w:t>I feel that staff in the department encourage my engagement in my academic learning by encouraging me to …</w:t>
      </w:r>
      <w:bookmarkEnd w:id="6"/>
    </w:p>
    <w:p w14:paraId="1ECC904D" w14:textId="77777777" w:rsidR="004B2B16" w:rsidRPr="004B2B16" w:rsidRDefault="004B2B16" w:rsidP="004B2B16"/>
    <w:p w14:paraId="456A953D" w14:textId="6D59A549" w:rsidR="009C6FFC" w:rsidRDefault="004B2B16" w:rsidP="009C6FFC">
      <w:pPr>
        <w:pStyle w:val="Heading2"/>
        <w:numPr>
          <w:ilvl w:val="0"/>
          <w:numId w:val="45"/>
        </w:numPr>
        <w:spacing w:after="120"/>
        <w:rPr>
          <w:rFonts w:ascii="Calibri" w:hAnsi="Calibri" w:cs="Calibri"/>
          <w:b/>
          <w:bCs/>
          <w:color w:val="FFFFFF" w:themeColor="background1"/>
          <w:sz w:val="32"/>
          <w:szCs w:val="32"/>
        </w:rPr>
      </w:pPr>
      <w:bookmarkStart w:id="7" w:name="_Toc50019538"/>
      <w:r w:rsidRPr="00687002">
        <w:rPr>
          <w:noProof/>
          <w:lang w:eastAsia="en-GB"/>
        </w:rPr>
        <w:drawing>
          <wp:anchor distT="0" distB="0" distL="114300" distR="114300" simplePos="0" relativeHeight="251676672" behindDoc="1" locked="0" layoutInCell="1" allowOverlap="1" wp14:anchorId="6BF914EC" wp14:editId="2D532356">
            <wp:simplePos x="0" y="0"/>
            <wp:positionH relativeFrom="column">
              <wp:posOffset>-55856</wp:posOffset>
            </wp:positionH>
            <wp:positionV relativeFrom="paragraph">
              <wp:posOffset>590071</wp:posOffset>
            </wp:positionV>
            <wp:extent cx="6581499" cy="3872865"/>
            <wp:effectExtent l="0" t="0" r="10160" b="13335"/>
            <wp:wrapNone/>
            <wp:docPr id="13" name="Chart 13">
              <a:extLst xmlns:a="http://schemas.openxmlformats.org/drawingml/2006/main">
                <a:ext uri="{FF2B5EF4-FFF2-40B4-BE49-F238E27FC236}">
                  <a16:creationId xmlns:a16="http://schemas.microsoft.com/office/drawing/2014/main" id="{EC2CF137-6910-43F1-A40D-CCE940DE5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9C6FFC" w:rsidRPr="009C6FFC">
        <w:rPr>
          <w:rFonts w:ascii="Calibri" w:hAnsi="Calibri" w:cs="Calibri"/>
          <w:b/>
          <w:bCs/>
          <w:color w:val="FFFFFF" w:themeColor="background1"/>
          <w:sz w:val="32"/>
          <w:szCs w:val="32"/>
        </w:rPr>
        <w:t>Select how you would feel reporting and discussing any racism or microaggression you have experienced to/with the following</w:t>
      </w:r>
      <w:r w:rsidR="009C6FFC">
        <w:rPr>
          <w:rFonts w:ascii="Calibri" w:hAnsi="Calibri" w:cs="Calibri"/>
          <w:b/>
          <w:bCs/>
          <w:color w:val="FFFFFF" w:themeColor="background1"/>
          <w:sz w:val="32"/>
          <w:szCs w:val="32"/>
        </w:rPr>
        <w:t xml:space="preserve"> …</w:t>
      </w:r>
      <w:bookmarkEnd w:id="7"/>
    </w:p>
    <w:p w14:paraId="0EADD45C" w14:textId="5C4565A7" w:rsidR="009C6FFC" w:rsidRDefault="009C6FFC" w:rsidP="009C6FFC">
      <w:pPr>
        <w:pStyle w:val="Heading2"/>
        <w:spacing w:after="120"/>
        <w:rPr>
          <w:rFonts w:ascii="Calibri" w:hAnsi="Calibri" w:cs="Calibri"/>
          <w:b/>
          <w:bCs/>
          <w:color w:val="FFFFFF" w:themeColor="background1"/>
          <w:sz w:val="32"/>
          <w:szCs w:val="32"/>
        </w:rPr>
      </w:pPr>
    </w:p>
    <w:p w14:paraId="70614F49" w14:textId="2B4B7793" w:rsidR="009C6FFC" w:rsidRPr="009C6FFC" w:rsidRDefault="009C6FFC" w:rsidP="009C6FFC">
      <w:pPr>
        <w:pStyle w:val="Heading2"/>
        <w:spacing w:after="120"/>
        <w:rPr>
          <w:rFonts w:ascii="Calibri" w:hAnsi="Calibri" w:cs="Calibri"/>
          <w:b/>
          <w:bCs/>
          <w:color w:val="FFFFFF" w:themeColor="background1"/>
          <w:sz w:val="32"/>
          <w:szCs w:val="32"/>
        </w:rPr>
      </w:pPr>
      <w:r>
        <w:rPr>
          <w:rFonts w:ascii="Calibri" w:hAnsi="Calibri" w:cs="Calibri"/>
          <w:b/>
          <w:bCs/>
          <w:color w:val="FFFFFF" w:themeColor="background1"/>
          <w:sz w:val="32"/>
          <w:szCs w:val="32"/>
        </w:rPr>
        <w:t xml:space="preserve"> </w:t>
      </w:r>
    </w:p>
    <w:p w14:paraId="4813B177" w14:textId="368BF7B9" w:rsidR="009C6FFC" w:rsidRDefault="009C6FFC" w:rsidP="009C6FFC"/>
    <w:p w14:paraId="32AB57B7" w14:textId="7250C358" w:rsidR="009C6FFC" w:rsidRDefault="009C6FFC" w:rsidP="009C6FFC"/>
    <w:p w14:paraId="1F630C32" w14:textId="35D78C24" w:rsidR="009C6FFC" w:rsidRDefault="009C6FFC" w:rsidP="009C6FFC"/>
    <w:p w14:paraId="292820D7" w14:textId="77777777" w:rsidR="009C6FFC" w:rsidRPr="009C6FFC" w:rsidRDefault="009C6FFC" w:rsidP="009C6FFC"/>
    <w:p w14:paraId="4F36B26A" w14:textId="5339D0D1" w:rsidR="008E1657" w:rsidRDefault="008E1657">
      <w:pPr>
        <w:rPr>
          <w:rFonts w:asciiTheme="majorHAnsi" w:eastAsiaTheme="majorEastAsia" w:hAnsiTheme="majorHAnsi" w:cstheme="majorBidi"/>
          <w:b/>
          <w:bCs/>
          <w:color w:val="588392"/>
          <w:sz w:val="30"/>
          <w:szCs w:val="30"/>
        </w:rPr>
      </w:pPr>
      <w:r>
        <w:rPr>
          <w:b/>
          <w:bCs/>
          <w:color w:val="588392"/>
          <w:sz w:val="30"/>
          <w:szCs w:val="30"/>
        </w:rPr>
        <w:br w:type="page"/>
      </w:r>
    </w:p>
    <w:p w14:paraId="44417959" w14:textId="252EFF77" w:rsidR="00FE16CC" w:rsidRPr="00334391" w:rsidRDefault="00D4167B" w:rsidP="00334391">
      <w:pPr>
        <w:pStyle w:val="Heading2"/>
        <w:spacing w:after="120"/>
        <w:ind w:firstLine="567"/>
        <w:rPr>
          <w:b/>
          <w:bCs/>
          <w:color w:val="588392"/>
          <w:sz w:val="30"/>
          <w:szCs w:val="30"/>
        </w:rPr>
      </w:pPr>
      <w:bookmarkStart w:id="8" w:name="_Toc50019539"/>
      <w:r w:rsidRPr="00334391">
        <w:rPr>
          <w:b/>
          <w:bCs/>
          <w:color w:val="588392"/>
          <w:sz w:val="30"/>
          <w:szCs w:val="30"/>
        </w:rPr>
        <w:t xml:space="preserve">So, </w:t>
      </w:r>
      <w:r w:rsidR="004462D8">
        <w:rPr>
          <w:b/>
          <w:bCs/>
          <w:color w:val="588392"/>
          <w:sz w:val="30"/>
          <w:szCs w:val="30"/>
        </w:rPr>
        <w:t>w</w:t>
      </w:r>
      <w:r w:rsidR="00933EA1" w:rsidRPr="00334391">
        <w:rPr>
          <w:b/>
          <w:bCs/>
          <w:color w:val="588392"/>
          <w:sz w:val="30"/>
          <w:szCs w:val="30"/>
        </w:rPr>
        <w:t>hat</w:t>
      </w:r>
      <w:r w:rsidR="004462D8" w:rsidRPr="004462D8">
        <w:rPr>
          <w:b/>
          <w:bCs/>
          <w:color w:val="588392"/>
          <w:sz w:val="30"/>
          <w:szCs w:val="30"/>
        </w:rPr>
        <w:t xml:space="preserve"> </w:t>
      </w:r>
      <w:r w:rsidR="00E85D72">
        <w:rPr>
          <w:b/>
          <w:bCs/>
          <w:color w:val="588392"/>
          <w:sz w:val="30"/>
          <w:szCs w:val="30"/>
        </w:rPr>
        <w:t>can</w:t>
      </w:r>
      <w:r w:rsidR="00933EA1" w:rsidRPr="004462D8">
        <w:rPr>
          <w:b/>
          <w:bCs/>
          <w:color w:val="588392"/>
          <w:sz w:val="30"/>
          <w:szCs w:val="30"/>
        </w:rPr>
        <w:t xml:space="preserve"> </w:t>
      </w:r>
      <w:r w:rsidR="00933EA1" w:rsidRPr="00334391">
        <w:rPr>
          <w:b/>
          <w:bCs/>
          <w:color w:val="588392"/>
          <w:sz w:val="30"/>
          <w:szCs w:val="30"/>
        </w:rPr>
        <w:t xml:space="preserve">I </w:t>
      </w:r>
      <w:r w:rsidR="004462D8">
        <w:rPr>
          <w:b/>
          <w:bCs/>
          <w:color w:val="588392"/>
          <w:sz w:val="30"/>
          <w:szCs w:val="30"/>
        </w:rPr>
        <w:t>d</w:t>
      </w:r>
      <w:r w:rsidR="00933EA1" w:rsidRPr="00334391">
        <w:rPr>
          <w:b/>
          <w:bCs/>
          <w:color w:val="588392"/>
          <w:sz w:val="30"/>
          <w:szCs w:val="30"/>
        </w:rPr>
        <w:t>o?</w:t>
      </w:r>
      <w:bookmarkEnd w:id="5"/>
      <w:bookmarkEnd w:id="8"/>
      <w:r w:rsidR="00933EA1" w:rsidRPr="00334391">
        <w:rPr>
          <w:b/>
          <w:bCs/>
          <w:color w:val="588392"/>
          <w:sz w:val="30"/>
          <w:szCs w:val="30"/>
        </w:rPr>
        <w:t xml:space="preserve"> </w:t>
      </w:r>
    </w:p>
    <w:p w14:paraId="12249372" w14:textId="77777777" w:rsidR="00477AF0" w:rsidRDefault="00477AF0" w:rsidP="003F4EE3">
      <w:pPr>
        <w:spacing w:after="120"/>
        <w:ind w:left="567" w:right="333"/>
        <w:jc w:val="both"/>
        <w:rPr>
          <w:rFonts w:ascii="Calibri" w:hAnsi="Calibri" w:cs="Calibri"/>
          <w:bCs/>
        </w:rPr>
      </w:pPr>
    </w:p>
    <w:p w14:paraId="12A36ED2" w14:textId="3759FBFB" w:rsidR="00835913" w:rsidRPr="00334391" w:rsidRDefault="0016457F" w:rsidP="003F4EE3">
      <w:pPr>
        <w:spacing w:after="120"/>
        <w:ind w:left="567" w:right="333"/>
        <w:jc w:val="both"/>
        <w:rPr>
          <w:rFonts w:ascii="Calibri" w:hAnsi="Calibri" w:cs="Calibri"/>
          <w:bCs/>
        </w:rPr>
      </w:pPr>
      <w:r w:rsidRPr="00334391">
        <w:rPr>
          <w:rFonts w:ascii="Calibri" w:hAnsi="Calibri" w:cs="Calibri"/>
          <w:bCs/>
        </w:rPr>
        <w:t>The process of decolonising one’s approach to the curriculum is multi-level and continuous. We have included some indicative questions as an initial guide</w:t>
      </w:r>
      <w:r w:rsidR="00864090">
        <w:rPr>
          <w:rFonts w:ascii="Calibri" w:hAnsi="Calibri" w:cs="Calibri"/>
          <w:bCs/>
        </w:rPr>
        <w:t>.</w:t>
      </w:r>
    </w:p>
    <w:p w14:paraId="4B70C0B3" w14:textId="77777777" w:rsidR="00477AF0" w:rsidRDefault="00477AF0" w:rsidP="00477AF0">
      <w:pPr>
        <w:pStyle w:val="ListParagraph"/>
        <w:spacing w:after="120"/>
        <w:ind w:left="851" w:right="333"/>
        <w:jc w:val="both"/>
        <w:rPr>
          <w:rFonts w:ascii="Calibri" w:hAnsi="Calibri" w:cs="Calibri"/>
          <w:b/>
        </w:rPr>
      </w:pPr>
    </w:p>
    <w:p w14:paraId="1F5EAF29" w14:textId="203925ED" w:rsidR="00334391" w:rsidRPr="00334391" w:rsidRDefault="00747578" w:rsidP="003F4EE3">
      <w:pPr>
        <w:pStyle w:val="ListParagraph"/>
        <w:numPr>
          <w:ilvl w:val="0"/>
          <w:numId w:val="22"/>
        </w:numPr>
        <w:spacing w:after="120"/>
        <w:ind w:left="851" w:right="333"/>
        <w:jc w:val="both"/>
        <w:rPr>
          <w:rFonts w:ascii="Calibri" w:hAnsi="Calibri" w:cs="Calibri"/>
          <w:b/>
        </w:rPr>
      </w:pPr>
      <w:r w:rsidRPr="00334391">
        <w:rPr>
          <w:rFonts w:ascii="Calibri" w:hAnsi="Calibri" w:cs="Calibri"/>
          <w:b/>
        </w:rPr>
        <w:t>Why do you design a curriculum?</w:t>
      </w:r>
    </w:p>
    <w:p w14:paraId="4DB6C12C" w14:textId="77777777" w:rsidR="00334391" w:rsidRPr="00334391" w:rsidRDefault="00725235" w:rsidP="003F4EE3">
      <w:pPr>
        <w:pStyle w:val="ListParagraph"/>
        <w:numPr>
          <w:ilvl w:val="1"/>
          <w:numId w:val="22"/>
        </w:numPr>
        <w:spacing w:after="120"/>
        <w:ind w:right="333"/>
        <w:jc w:val="both"/>
        <w:rPr>
          <w:rFonts w:ascii="Calibri" w:hAnsi="Calibri" w:cs="Calibri"/>
          <w:b/>
        </w:rPr>
      </w:pPr>
      <w:r w:rsidRPr="00334391">
        <w:rPr>
          <w:rFonts w:ascii="Calibri" w:hAnsi="Calibri" w:cs="Calibri"/>
          <w:bCs/>
        </w:rPr>
        <w:t>Does the curriculum serve only as a means towards teaching, or does it also paint a specific picture of a field for students?</w:t>
      </w:r>
    </w:p>
    <w:p w14:paraId="1AF6E20E" w14:textId="17938899" w:rsidR="00334391" w:rsidRPr="004462D8" w:rsidRDefault="00747578" w:rsidP="004462D8">
      <w:pPr>
        <w:pStyle w:val="ListParagraph"/>
        <w:numPr>
          <w:ilvl w:val="1"/>
          <w:numId w:val="22"/>
        </w:numPr>
        <w:spacing w:after="120"/>
        <w:ind w:right="333"/>
        <w:jc w:val="both"/>
        <w:rPr>
          <w:rFonts w:ascii="Calibri" w:hAnsi="Calibri" w:cs="Calibri"/>
          <w:b/>
        </w:rPr>
      </w:pPr>
      <w:r w:rsidRPr="00334391">
        <w:rPr>
          <w:rFonts w:ascii="Calibri" w:hAnsi="Calibri" w:cs="Calibri"/>
          <w:bCs/>
        </w:rPr>
        <w:t xml:space="preserve">What </w:t>
      </w:r>
      <w:r w:rsidR="0016457F" w:rsidRPr="00334391">
        <w:rPr>
          <w:rFonts w:ascii="Calibri" w:hAnsi="Calibri" w:cs="Calibri"/>
          <w:bCs/>
        </w:rPr>
        <w:t xml:space="preserve">key points do </w:t>
      </w:r>
      <w:r w:rsidRPr="00334391">
        <w:rPr>
          <w:rFonts w:ascii="Calibri" w:hAnsi="Calibri" w:cs="Calibri"/>
          <w:bCs/>
        </w:rPr>
        <w:t xml:space="preserve">you </w:t>
      </w:r>
      <w:r w:rsidR="00725235" w:rsidRPr="00334391">
        <w:rPr>
          <w:rFonts w:ascii="Calibri" w:hAnsi="Calibri" w:cs="Calibri"/>
          <w:bCs/>
        </w:rPr>
        <w:t>expect</w:t>
      </w:r>
      <w:r w:rsidRPr="00334391">
        <w:rPr>
          <w:rFonts w:ascii="Calibri" w:hAnsi="Calibri" w:cs="Calibri"/>
          <w:bCs/>
        </w:rPr>
        <w:t xml:space="preserve"> students to take away from the study of </w:t>
      </w:r>
      <w:r w:rsidR="004462D8">
        <w:rPr>
          <w:rFonts w:ascii="Calibri" w:hAnsi="Calibri" w:cs="Calibri"/>
          <w:bCs/>
        </w:rPr>
        <w:t>this</w:t>
      </w:r>
      <w:r w:rsidRPr="00334391">
        <w:rPr>
          <w:rFonts w:ascii="Calibri" w:hAnsi="Calibri" w:cs="Calibri"/>
          <w:bCs/>
        </w:rPr>
        <w:t xml:space="preserve"> field?</w:t>
      </w:r>
    </w:p>
    <w:p w14:paraId="16FBA017" w14:textId="77777777" w:rsidR="00477AF0" w:rsidRDefault="00477AF0" w:rsidP="00477AF0">
      <w:pPr>
        <w:pStyle w:val="ListParagraph"/>
        <w:spacing w:after="120"/>
        <w:ind w:left="851" w:right="333"/>
        <w:jc w:val="both"/>
        <w:rPr>
          <w:rFonts w:ascii="Calibri" w:hAnsi="Calibri" w:cs="Calibri"/>
          <w:b/>
        </w:rPr>
      </w:pPr>
    </w:p>
    <w:p w14:paraId="584CA118" w14:textId="3F9D776E" w:rsidR="00334391" w:rsidRPr="00334391" w:rsidRDefault="009409FD" w:rsidP="003F4EE3">
      <w:pPr>
        <w:pStyle w:val="ListParagraph"/>
        <w:numPr>
          <w:ilvl w:val="0"/>
          <w:numId w:val="22"/>
        </w:numPr>
        <w:spacing w:after="120"/>
        <w:ind w:left="851" w:right="333"/>
        <w:jc w:val="both"/>
        <w:rPr>
          <w:rFonts w:ascii="Calibri" w:hAnsi="Calibri" w:cs="Calibri"/>
          <w:b/>
        </w:rPr>
      </w:pPr>
      <w:r w:rsidRPr="00334391">
        <w:rPr>
          <w:rFonts w:ascii="Calibri" w:hAnsi="Calibri" w:cs="Calibri"/>
          <w:b/>
        </w:rPr>
        <w:t>For whom do you design your curriculum?</w:t>
      </w:r>
    </w:p>
    <w:p w14:paraId="0C056249" w14:textId="77777777" w:rsidR="00334391" w:rsidRPr="00334391" w:rsidRDefault="009409FD" w:rsidP="003F4EE3">
      <w:pPr>
        <w:pStyle w:val="ListParagraph"/>
        <w:numPr>
          <w:ilvl w:val="1"/>
          <w:numId w:val="22"/>
        </w:numPr>
        <w:spacing w:after="120"/>
        <w:ind w:right="333"/>
        <w:jc w:val="both"/>
        <w:rPr>
          <w:rFonts w:ascii="Calibri" w:hAnsi="Calibri" w:cs="Calibri"/>
          <w:b/>
        </w:rPr>
      </w:pPr>
      <w:r w:rsidRPr="00334391">
        <w:rPr>
          <w:rFonts w:ascii="Calibri" w:hAnsi="Calibri" w:cs="Calibri"/>
          <w:bCs/>
        </w:rPr>
        <w:t xml:space="preserve">Who is your ideal student? </w:t>
      </w:r>
      <w:r w:rsidR="00CB7B7B" w:rsidRPr="00334391">
        <w:rPr>
          <w:rFonts w:ascii="Calibri" w:hAnsi="Calibri" w:cs="Calibri"/>
          <w:bCs/>
        </w:rPr>
        <w:t xml:space="preserve">What are their characteristics and mindset? </w:t>
      </w:r>
      <w:r w:rsidRPr="00334391">
        <w:rPr>
          <w:rFonts w:ascii="Calibri" w:hAnsi="Calibri" w:cs="Calibri"/>
          <w:bCs/>
        </w:rPr>
        <w:t>What assumptions do you make about their backgrounds, culture, languages, and schooling</w:t>
      </w:r>
      <w:r w:rsidR="00334391" w:rsidRPr="00334391">
        <w:rPr>
          <w:rFonts w:ascii="Calibri" w:hAnsi="Calibri" w:cs="Calibri"/>
          <w:bCs/>
        </w:rPr>
        <w:t>?</w:t>
      </w:r>
    </w:p>
    <w:p w14:paraId="7CD9EDF1" w14:textId="6560F623" w:rsidR="00334391" w:rsidRPr="004462D8" w:rsidRDefault="00334391" w:rsidP="004462D8">
      <w:pPr>
        <w:pStyle w:val="ListParagraph"/>
        <w:numPr>
          <w:ilvl w:val="1"/>
          <w:numId w:val="22"/>
        </w:numPr>
        <w:spacing w:after="120"/>
        <w:ind w:right="333"/>
        <w:jc w:val="both"/>
        <w:rPr>
          <w:rFonts w:ascii="Calibri" w:hAnsi="Calibri" w:cs="Calibri"/>
          <w:b/>
        </w:rPr>
      </w:pPr>
      <w:r>
        <w:rPr>
          <w:rFonts w:ascii="Calibri" w:hAnsi="Calibri" w:cs="Calibri"/>
          <w:bCs/>
        </w:rPr>
        <w:t>Do</w:t>
      </w:r>
      <w:r w:rsidR="00CB7B7B" w:rsidRPr="00334391">
        <w:rPr>
          <w:rFonts w:ascii="Calibri" w:hAnsi="Calibri" w:cs="Calibri"/>
          <w:bCs/>
        </w:rPr>
        <w:t xml:space="preserve"> </w:t>
      </w:r>
      <w:r w:rsidR="00725235" w:rsidRPr="00334391">
        <w:rPr>
          <w:rFonts w:ascii="Calibri" w:hAnsi="Calibri" w:cs="Calibri"/>
          <w:bCs/>
        </w:rPr>
        <w:t xml:space="preserve">some </w:t>
      </w:r>
      <w:r w:rsidR="0016457F" w:rsidRPr="00334391">
        <w:rPr>
          <w:rFonts w:ascii="Calibri" w:hAnsi="Calibri" w:cs="Calibri"/>
          <w:bCs/>
        </w:rPr>
        <w:t>students</w:t>
      </w:r>
      <w:r w:rsidR="00CB7B7B" w:rsidRPr="00334391">
        <w:rPr>
          <w:rFonts w:ascii="Calibri" w:hAnsi="Calibri" w:cs="Calibri"/>
          <w:bCs/>
        </w:rPr>
        <w:t xml:space="preserve"> represent the ‘Other’ in your teaching</w:t>
      </w:r>
      <w:r w:rsidR="00725235" w:rsidRPr="00334391">
        <w:rPr>
          <w:rFonts w:ascii="Calibri" w:hAnsi="Calibri" w:cs="Calibri"/>
          <w:bCs/>
        </w:rPr>
        <w:t>?</w:t>
      </w:r>
      <w:r w:rsidR="00CB7B7B" w:rsidRPr="00334391">
        <w:rPr>
          <w:rFonts w:ascii="Calibri" w:hAnsi="Calibri" w:cs="Calibri"/>
          <w:bCs/>
        </w:rPr>
        <w:t xml:space="preserve"> </w:t>
      </w:r>
      <w:r w:rsidR="0016457F" w:rsidRPr="00334391">
        <w:rPr>
          <w:rFonts w:ascii="Calibri" w:hAnsi="Calibri" w:cs="Calibri"/>
          <w:bCs/>
        </w:rPr>
        <w:t xml:space="preserve">Do you believe your own identities affect your approach to the curriculum? </w:t>
      </w:r>
      <w:r>
        <w:rPr>
          <w:rFonts w:ascii="Calibri" w:hAnsi="Calibri" w:cs="Calibri"/>
          <w:bCs/>
        </w:rPr>
        <w:t>C</w:t>
      </w:r>
      <w:r w:rsidR="00CB7B7B" w:rsidRPr="00334391">
        <w:rPr>
          <w:rFonts w:ascii="Calibri" w:hAnsi="Calibri" w:cs="Calibri"/>
          <w:bCs/>
        </w:rPr>
        <w:t>ould this be problematic</w:t>
      </w:r>
      <w:r w:rsidR="004462D8">
        <w:rPr>
          <w:rFonts w:ascii="Calibri" w:hAnsi="Calibri" w:cs="Calibri"/>
          <w:bCs/>
        </w:rPr>
        <w:t>?</w:t>
      </w:r>
    </w:p>
    <w:p w14:paraId="2D430EA7" w14:textId="3B71C89F" w:rsidR="004462D8" w:rsidRDefault="004462D8">
      <w:pPr>
        <w:rPr>
          <w:rFonts w:ascii="Calibri" w:hAnsi="Calibri" w:cs="Calibri"/>
          <w:b/>
        </w:rPr>
      </w:pPr>
    </w:p>
    <w:p w14:paraId="69E0EA3E" w14:textId="77777777" w:rsidR="00477AF0" w:rsidRPr="00334391" w:rsidRDefault="00477AF0" w:rsidP="00477AF0">
      <w:pPr>
        <w:pStyle w:val="ListParagraph"/>
        <w:numPr>
          <w:ilvl w:val="0"/>
          <w:numId w:val="22"/>
        </w:numPr>
        <w:spacing w:after="120"/>
        <w:ind w:left="851" w:right="333"/>
        <w:jc w:val="both"/>
        <w:rPr>
          <w:rFonts w:ascii="Calibri" w:hAnsi="Calibri" w:cs="Calibri"/>
          <w:b/>
        </w:rPr>
      </w:pPr>
      <w:r w:rsidRPr="00334391">
        <w:rPr>
          <w:rFonts w:ascii="Calibri" w:hAnsi="Calibri" w:cs="Calibri"/>
          <w:b/>
        </w:rPr>
        <w:t>What are the principles or norms that guide your selection of knowledge for your curriculum?</w:t>
      </w:r>
    </w:p>
    <w:p w14:paraId="74872D8D" w14:textId="77777777" w:rsidR="00477AF0" w:rsidRPr="00334391"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Does your curriculum allow students to understand the origins and purposes of the field of study in its historical context? Does it clarify why certain experiences and voices may have been omitted from canonical approaches?</w:t>
      </w:r>
    </w:p>
    <w:p w14:paraId="00EB830C" w14:textId="77777777" w:rsidR="00477AF0" w:rsidRPr="00334391"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Does your curriculum cultivate an appreciation for diverse entry points around specific topics? Does it appreciate the importance of reintegrating a wider range of perspectives into the study of a specific field? How central is this in your selection of knowledge?</w:t>
      </w:r>
    </w:p>
    <w:p w14:paraId="660F0A8B" w14:textId="77777777" w:rsidR="00477AF0" w:rsidRPr="00334391"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Does your curriculum encourage a critical approach to authoritative texts as a central mode of study? How embedded is this practice in your selection of knowledge?</w:t>
      </w:r>
    </w:p>
    <w:p w14:paraId="6A14769F" w14:textId="75C19742" w:rsidR="00477AF0" w:rsidRPr="004462D8"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Does your curriculum enable students to draw on non-English sources</w:t>
      </w:r>
      <w:r w:rsidR="00745A26">
        <w:rPr>
          <w:rFonts w:ascii="Calibri" w:hAnsi="Calibri" w:cs="Calibri"/>
          <w:bCs/>
        </w:rPr>
        <w:t>?</w:t>
      </w:r>
    </w:p>
    <w:p w14:paraId="3592B733" w14:textId="2E17AE4B" w:rsidR="004462D8" w:rsidRDefault="004462D8">
      <w:pPr>
        <w:rPr>
          <w:rFonts w:ascii="Calibri" w:hAnsi="Calibri" w:cs="Calibri"/>
          <w:b/>
        </w:rPr>
      </w:pPr>
    </w:p>
    <w:p w14:paraId="0F1404F8" w14:textId="5B0FDD55" w:rsidR="004462D8" w:rsidRPr="00745A26" w:rsidRDefault="00745A26" w:rsidP="00745A26">
      <w:pPr>
        <w:pStyle w:val="IntenseQuote"/>
      </w:pPr>
      <w:r w:rsidRPr="00745A26">
        <w:t>“It</w:t>
      </w:r>
      <w:r>
        <w:t xml:space="preserve"> i</w:t>
      </w:r>
      <w:r w:rsidRPr="00745A26">
        <w:t xml:space="preserve">s as if no one can trust my word as </w:t>
      </w:r>
      <w:r>
        <w:t>I</w:t>
      </w:r>
      <w:r w:rsidRPr="00745A26">
        <w:t xml:space="preserve"> am always a minority... for example, a discussion on British empire in India was had in first year. I spoke about my granddad</w:t>
      </w:r>
      <w:r>
        <w:t>’s</w:t>
      </w:r>
      <w:r w:rsidRPr="00745A26">
        <w:t xml:space="preserve"> service in India for </w:t>
      </w:r>
      <w:r>
        <w:t>the British</w:t>
      </w:r>
      <w:r w:rsidRPr="00745A26">
        <w:t xml:space="preserve"> army during partition. I was told his account couldn’t have been true.”</w:t>
      </w:r>
    </w:p>
    <w:p w14:paraId="36A90F1B" w14:textId="0EB53F2D" w:rsidR="00477AF0" w:rsidRDefault="00477AF0">
      <w:pPr>
        <w:rPr>
          <w:rFonts w:ascii="Calibri" w:hAnsi="Calibri" w:cs="Calibri"/>
          <w:b/>
          <w:color w:val="588392"/>
        </w:rPr>
      </w:pPr>
    </w:p>
    <w:p w14:paraId="5A4555F2" w14:textId="30FF1263" w:rsidR="00477AF0" w:rsidRDefault="00477AF0">
      <w:pPr>
        <w:rPr>
          <w:rFonts w:ascii="Calibri" w:hAnsi="Calibri" w:cs="Calibri"/>
          <w:b/>
          <w:color w:val="588392"/>
        </w:rPr>
      </w:pPr>
    </w:p>
    <w:p w14:paraId="523E5BF1" w14:textId="77777777" w:rsidR="00477AF0" w:rsidRPr="00334391" w:rsidRDefault="00477AF0" w:rsidP="00477AF0">
      <w:pPr>
        <w:pStyle w:val="ListParagraph"/>
        <w:numPr>
          <w:ilvl w:val="0"/>
          <w:numId w:val="22"/>
        </w:numPr>
        <w:spacing w:after="120"/>
        <w:ind w:left="851" w:right="333"/>
        <w:jc w:val="both"/>
        <w:rPr>
          <w:rFonts w:ascii="Calibri" w:hAnsi="Calibri" w:cs="Calibri"/>
          <w:b/>
        </w:rPr>
      </w:pPr>
      <w:r w:rsidRPr="00334391">
        <w:rPr>
          <w:rFonts w:ascii="Calibri" w:hAnsi="Calibri" w:cs="Calibri"/>
          <w:b/>
        </w:rPr>
        <w:t>What can you do to build a learning community that respects students’ experiences and cultures?</w:t>
      </w:r>
    </w:p>
    <w:p w14:paraId="3D5A032B" w14:textId="77777777" w:rsidR="00477AF0" w:rsidRPr="00334391"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 BAME students regularly talk in your classes? Why? Why not?</w:t>
      </w:r>
    </w:p>
    <w:p w14:paraId="41386190" w14:textId="77777777" w:rsidR="00477AF0" w:rsidRPr="00334391"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 you think some topics or readings might be potentially traumatic or painful to students? How should this be acknowledged and managed?</w:t>
      </w:r>
    </w:p>
    <w:p w14:paraId="2B039C18" w14:textId="2446A15F" w:rsidR="00477AF0" w:rsidRPr="00477AF0"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 you articulate your social and intellectual position when lecturing</w:t>
      </w:r>
      <w:r>
        <w:rPr>
          <w:rFonts w:ascii="Calibri" w:hAnsi="Calibri" w:cs="Calibri"/>
          <w:bCs/>
        </w:rPr>
        <w:t>?</w:t>
      </w:r>
    </w:p>
    <w:p w14:paraId="44A983EA" w14:textId="77777777" w:rsidR="00477AF0" w:rsidRPr="00477AF0" w:rsidRDefault="00477AF0" w:rsidP="00477AF0">
      <w:pPr>
        <w:spacing w:after="120"/>
        <w:ind w:right="333"/>
        <w:jc w:val="both"/>
        <w:rPr>
          <w:rFonts w:ascii="Calibri" w:hAnsi="Calibri" w:cs="Calibri"/>
          <w:b/>
        </w:rPr>
      </w:pPr>
    </w:p>
    <w:p w14:paraId="448802D6" w14:textId="77777777" w:rsidR="00477AF0" w:rsidRPr="00334391" w:rsidRDefault="00477AF0" w:rsidP="00477AF0">
      <w:pPr>
        <w:pStyle w:val="ListParagraph"/>
        <w:numPr>
          <w:ilvl w:val="0"/>
          <w:numId w:val="22"/>
        </w:numPr>
        <w:spacing w:after="120"/>
        <w:ind w:left="851" w:right="333"/>
        <w:jc w:val="both"/>
        <w:rPr>
          <w:rFonts w:ascii="Calibri" w:hAnsi="Calibri" w:cs="Calibri"/>
          <w:b/>
        </w:rPr>
      </w:pPr>
      <w:r w:rsidRPr="00334391">
        <w:rPr>
          <w:rFonts w:ascii="Calibri" w:hAnsi="Calibri" w:cs="Calibri"/>
          <w:b/>
        </w:rPr>
        <w:t>To what extent do your assumptions about the curriculum inform your assessment criteria?</w:t>
      </w:r>
    </w:p>
    <w:p w14:paraId="4BA48392" w14:textId="77777777" w:rsidR="00477AF0" w:rsidRPr="00477AF0" w:rsidRDefault="00477AF0" w:rsidP="00477AF0">
      <w:pPr>
        <w:pStyle w:val="ListParagraph"/>
        <w:numPr>
          <w:ilvl w:val="1"/>
          <w:numId w:val="22"/>
        </w:numPr>
        <w:spacing w:after="120"/>
        <w:ind w:right="333"/>
        <w:jc w:val="both"/>
        <w:rPr>
          <w:rFonts w:ascii="Calibri" w:hAnsi="Calibri" w:cs="Calibri"/>
          <w:b/>
        </w:rPr>
      </w:pPr>
      <w:r w:rsidRPr="00334391">
        <w:rPr>
          <w:rFonts w:ascii="Calibri" w:hAnsi="Calibri" w:cs="Calibri"/>
          <w:bCs/>
        </w:rPr>
        <w:t>Do you give students multiple opportunities to reflect upon their learning and intellectual growth? Can you create opportunities for students to make their learning visible and build solidarity, rather than competition, around assessment?</w:t>
      </w:r>
    </w:p>
    <w:p w14:paraId="447121E7" w14:textId="5A7EC04F" w:rsidR="00477AF0" w:rsidRPr="00477AF0" w:rsidRDefault="00477AF0" w:rsidP="00477AF0">
      <w:pPr>
        <w:pStyle w:val="ListParagraph"/>
        <w:numPr>
          <w:ilvl w:val="1"/>
          <w:numId w:val="22"/>
        </w:numPr>
        <w:spacing w:after="120"/>
        <w:ind w:right="333"/>
        <w:jc w:val="both"/>
        <w:rPr>
          <w:rFonts w:ascii="Calibri" w:hAnsi="Calibri" w:cs="Calibri"/>
          <w:b/>
        </w:rPr>
      </w:pPr>
      <w:r w:rsidRPr="00477AF0">
        <w:rPr>
          <w:rFonts w:ascii="Calibri" w:hAnsi="Calibri" w:cs="Calibri"/>
          <w:bCs/>
        </w:rPr>
        <w:t>Are there assessment methods that can draw on the strengths of all students and demonstrate what they are capable of?</w:t>
      </w:r>
    </w:p>
    <w:p w14:paraId="675C127E" w14:textId="01584EF6" w:rsidR="00477AF0" w:rsidRDefault="00477AF0">
      <w:pPr>
        <w:rPr>
          <w:rFonts w:ascii="Calibri" w:hAnsi="Calibri" w:cs="Calibri"/>
          <w:b/>
          <w:color w:val="588392"/>
        </w:rPr>
      </w:pPr>
    </w:p>
    <w:p w14:paraId="33D9DB74" w14:textId="47C4D1CD" w:rsidR="00477AF0" w:rsidRDefault="00477AF0">
      <w:pPr>
        <w:rPr>
          <w:rFonts w:ascii="Calibri" w:hAnsi="Calibri" w:cs="Calibri"/>
          <w:b/>
          <w:color w:val="588392"/>
        </w:rPr>
      </w:pPr>
    </w:p>
    <w:p w14:paraId="64B17096" w14:textId="3ACB73A8" w:rsidR="00477AF0" w:rsidRDefault="00477AF0">
      <w:pPr>
        <w:rPr>
          <w:rFonts w:ascii="Calibri" w:hAnsi="Calibri" w:cs="Calibri"/>
          <w:b/>
          <w:color w:val="588392"/>
        </w:rPr>
      </w:pPr>
    </w:p>
    <w:p w14:paraId="2A20C8ED" w14:textId="77777777" w:rsidR="00477AF0" w:rsidRPr="004462D8" w:rsidRDefault="00477AF0">
      <w:pPr>
        <w:rPr>
          <w:rFonts w:ascii="Calibri" w:hAnsi="Calibri" w:cs="Calibri"/>
          <w:b/>
          <w:color w:val="588392"/>
        </w:rPr>
      </w:pPr>
    </w:p>
    <w:p w14:paraId="0E0F5A0A" w14:textId="5451F87F" w:rsidR="004462D8" w:rsidRPr="004462D8" w:rsidRDefault="004462D8" w:rsidP="00500B36">
      <w:pPr>
        <w:pStyle w:val="IntenseQuote"/>
      </w:pPr>
      <w:r w:rsidRPr="004462D8">
        <w:t xml:space="preserve">“Obviously this isn't an absolute truth. However, I feel as though BAME students face many issues that get in the way of their </w:t>
      </w:r>
      <w:r w:rsidRPr="00477AF0">
        <w:t xml:space="preserve">academic performance. Again, </w:t>
      </w:r>
      <w:r w:rsidR="00477AF0">
        <w:t>I a</w:t>
      </w:r>
      <w:r w:rsidRPr="00477AF0">
        <w:t>m only speaking of the group that I know. But we face financial struggles that mean we have to work. If you add this to an environment where we do not feel completely included, it could lead to further disengagement</w:t>
      </w:r>
      <w:r w:rsidRPr="004462D8">
        <w:t xml:space="preserve"> from our course and 'settling' for a 2:1 or below.”</w:t>
      </w:r>
    </w:p>
    <w:p w14:paraId="26DF919E" w14:textId="12C7CB93" w:rsidR="004462D8" w:rsidRPr="004462D8" w:rsidRDefault="004462D8">
      <w:pPr>
        <w:rPr>
          <w:rFonts w:ascii="Calibri" w:hAnsi="Calibri" w:cs="Calibri"/>
          <w:b/>
          <w:color w:val="588392"/>
        </w:rPr>
      </w:pPr>
    </w:p>
    <w:p w14:paraId="59BC6FEA" w14:textId="42BCFF2F" w:rsidR="003F4EE3" w:rsidRPr="004462D8" w:rsidRDefault="003F4EE3" w:rsidP="004462D8">
      <w:pPr>
        <w:pStyle w:val="ListParagraph"/>
        <w:numPr>
          <w:ilvl w:val="1"/>
          <w:numId w:val="22"/>
        </w:numPr>
        <w:spacing w:after="120"/>
        <w:ind w:right="333"/>
        <w:jc w:val="both"/>
        <w:rPr>
          <w:rFonts w:ascii="Calibri" w:hAnsi="Calibri" w:cs="Calibri"/>
          <w:b/>
        </w:rPr>
      </w:pPr>
      <w:r w:rsidRPr="004462D8">
        <w:rPr>
          <w:b/>
          <w:bCs/>
          <w:color w:val="588392"/>
          <w:sz w:val="30"/>
          <w:szCs w:val="30"/>
        </w:rPr>
        <w:br w:type="page"/>
      </w:r>
    </w:p>
    <w:p w14:paraId="01D459CF" w14:textId="33E5E0FA" w:rsidR="00835913" w:rsidRPr="004462D8" w:rsidRDefault="00334391" w:rsidP="004462D8">
      <w:pPr>
        <w:pStyle w:val="Heading2"/>
        <w:spacing w:after="120"/>
        <w:ind w:right="333" w:firstLine="567"/>
        <w:rPr>
          <w:b/>
          <w:bCs/>
          <w:color w:val="588392"/>
          <w:sz w:val="30"/>
          <w:szCs w:val="30"/>
        </w:rPr>
      </w:pPr>
      <w:bookmarkStart w:id="9" w:name="_Toc50019540"/>
      <w:r>
        <w:rPr>
          <w:b/>
          <w:bCs/>
          <w:color w:val="588392"/>
          <w:sz w:val="30"/>
          <w:szCs w:val="30"/>
        </w:rPr>
        <w:t xml:space="preserve">Good </w:t>
      </w:r>
      <w:r w:rsidR="00E85D72">
        <w:rPr>
          <w:b/>
          <w:bCs/>
          <w:color w:val="588392"/>
          <w:sz w:val="30"/>
          <w:szCs w:val="30"/>
        </w:rPr>
        <w:t>p</w:t>
      </w:r>
      <w:r>
        <w:rPr>
          <w:b/>
          <w:bCs/>
          <w:color w:val="588392"/>
          <w:sz w:val="30"/>
          <w:szCs w:val="30"/>
        </w:rPr>
        <w:t xml:space="preserve">ractice </w:t>
      </w:r>
      <w:r w:rsidR="00E85D72">
        <w:rPr>
          <w:b/>
          <w:bCs/>
          <w:color w:val="588392"/>
          <w:sz w:val="30"/>
          <w:szCs w:val="30"/>
        </w:rPr>
        <w:t>s</w:t>
      </w:r>
      <w:r>
        <w:rPr>
          <w:b/>
          <w:bCs/>
          <w:color w:val="588392"/>
          <w:sz w:val="30"/>
          <w:szCs w:val="30"/>
        </w:rPr>
        <w:t>uggestions</w:t>
      </w:r>
      <w:bookmarkEnd w:id="9"/>
      <w:r w:rsidRPr="00334391">
        <w:rPr>
          <w:b/>
          <w:bCs/>
          <w:color w:val="588392"/>
          <w:sz w:val="30"/>
          <w:szCs w:val="30"/>
        </w:rPr>
        <w:t xml:space="preserve"> </w:t>
      </w:r>
    </w:p>
    <w:p w14:paraId="75974917" w14:textId="77777777" w:rsidR="004462D8" w:rsidRDefault="004462D8" w:rsidP="003F4EE3">
      <w:pPr>
        <w:spacing w:after="120"/>
        <w:ind w:left="993" w:right="333" w:hanging="426"/>
        <w:jc w:val="both"/>
        <w:rPr>
          <w:rFonts w:ascii="Calibri" w:hAnsi="Calibri" w:cs="Calibri"/>
          <w:b/>
        </w:rPr>
      </w:pPr>
    </w:p>
    <w:p w14:paraId="64393838" w14:textId="52AA9808" w:rsidR="00835913" w:rsidRPr="00334391" w:rsidRDefault="00835913" w:rsidP="003F4EE3">
      <w:pPr>
        <w:spacing w:after="120"/>
        <w:ind w:left="993" w:right="333" w:hanging="426"/>
        <w:jc w:val="both"/>
        <w:rPr>
          <w:rFonts w:ascii="Calibri" w:hAnsi="Calibri" w:cs="Calibri"/>
          <w:b/>
        </w:rPr>
      </w:pPr>
      <w:r w:rsidRPr="00334391">
        <w:rPr>
          <w:rFonts w:ascii="Calibri" w:hAnsi="Calibri" w:cs="Calibri"/>
          <w:b/>
        </w:rPr>
        <w:t>Content</w:t>
      </w:r>
    </w:p>
    <w:p w14:paraId="3E5CFEFD" w14:textId="6A976324" w:rsidR="00835913" w:rsidRPr="00334391" w:rsidRDefault="00835913" w:rsidP="003F4EE3">
      <w:pPr>
        <w:pStyle w:val="ListParagraph"/>
        <w:numPr>
          <w:ilvl w:val="0"/>
          <w:numId w:val="23"/>
        </w:numPr>
        <w:spacing w:after="120"/>
        <w:ind w:left="993" w:right="333" w:hanging="426"/>
        <w:jc w:val="both"/>
        <w:rPr>
          <w:rFonts w:ascii="Calibri" w:hAnsi="Calibri" w:cs="Calibri"/>
          <w:bCs/>
        </w:rPr>
      </w:pPr>
      <w:r w:rsidRPr="00334391">
        <w:rPr>
          <w:rFonts w:ascii="Calibri" w:hAnsi="Calibri" w:cs="Calibri"/>
          <w:bCs/>
        </w:rPr>
        <w:t>Recognise the importance of building a curriculum; consult a wider range of authors, textbooks, and journals, particularly those located in the Global South (as well as at the intersection of the Global South and the Global North historically)</w:t>
      </w:r>
      <w:r w:rsidRPr="00334391">
        <w:rPr>
          <w:rStyle w:val="FootnoteReference"/>
          <w:rFonts w:ascii="Calibri" w:hAnsi="Calibri" w:cs="Calibri"/>
          <w:bCs/>
        </w:rPr>
        <w:footnoteReference w:id="1"/>
      </w:r>
      <w:r w:rsidRPr="00334391">
        <w:rPr>
          <w:rFonts w:ascii="Calibri" w:hAnsi="Calibri" w:cs="Calibri"/>
          <w:bCs/>
        </w:rPr>
        <w:t xml:space="preserve"> in the effort of capturing a wider range of perspectives or debates.</w:t>
      </w:r>
    </w:p>
    <w:p w14:paraId="7C1FDA30" w14:textId="77777777" w:rsidR="00835913" w:rsidRPr="00334391" w:rsidRDefault="00835913" w:rsidP="003F4EE3">
      <w:pPr>
        <w:pStyle w:val="ListParagraph"/>
        <w:numPr>
          <w:ilvl w:val="0"/>
          <w:numId w:val="23"/>
        </w:numPr>
        <w:spacing w:after="120"/>
        <w:ind w:left="993" w:right="333" w:hanging="426"/>
        <w:jc w:val="both"/>
        <w:rPr>
          <w:rFonts w:ascii="Calibri" w:hAnsi="Calibri" w:cs="Calibri"/>
          <w:bCs/>
        </w:rPr>
      </w:pPr>
      <w:r w:rsidRPr="00334391">
        <w:rPr>
          <w:rFonts w:ascii="Calibri" w:hAnsi="Calibri" w:cs="Calibri"/>
          <w:bCs/>
        </w:rPr>
        <w:t>Consider using images of the scholars you quote in your lectures; debunk assumptions that research is male and white.</w:t>
      </w:r>
    </w:p>
    <w:p w14:paraId="1FB7588C" w14:textId="77777777" w:rsidR="00835913" w:rsidRPr="00334391" w:rsidRDefault="00835913" w:rsidP="003F4EE3">
      <w:pPr>
        <w:pStyle w:val="ListParagraph"/>
        <w:numPr>
          <w:ilvl w:val="0"/>
          <w:numId w:val="23"/>
        </w:numPr>
        <w:spacing w:after="120"/>
        <w:ind w:left="993" w:right="333" w:hanging="426"/>
        <w:jc w:val="both"/>
        <w:rPr>
          <w:rFonts w:ascii="Calibri" w:hAnsi="Calibri" w:cs="Calibri"/>
          <w:bCs/>
        </w:rPr>
      </w:pPr>
      <w:r w:rsidRPr="00334391">
        <w:rPr>
          <w:rFonts w:ascii="Calibri" w:hAnsi="Calibri" w:cs="Calibri"/>
          <w:bCs/>
        </w:rPr>
        <w:t>Consider bringing critical perspectives to mainstream work to earlier sessions; re-organise material in order to bring different issues into the forefront.</w:t>
      </w:r>
    </w:p>
    <w:p w14:paraId="59C48D3C" w14:textId="77777777" w:rsidR="00835913" w:rsidRPr="00334391" w:rsidRDefault="00835913" w:rsidP="003F4EE3">
      <w:pPr>
        <w:pStyle w:val="ListParagraph"/>
        <w:numPr>
          <w:ilvl w:val="0"/>
          <w:numId w:val="23"/>
        </w:numPr>
        <w:spacing w:after="120"/>
        <w:ind w:left="993" w:right="333" w:hanging="426"/>
        <w:jc w:val="both"/>
        <w:rPr>
          <w:rFonts w:ascii="Calibri" w:hAnsi="Calibri" w:cs="Calibri"/>
          <w:bCs/>
        </w:rPr>
      </w:pPr>
      <w:r w:rsidRPr="00334391">
        <w:rPr>
          <w:rFonts w:ascii="Calibri" w:hAnsi="Calibri" w:cs="Calibri"/>
          <w:bCs/>
        </w:rPr>
        <w:t>Be transparent on your choice of content and any historical biases within the field.</w:t>
      </w:r>
    </w:p>
    <w:p w14:paraId="4CC351A4" w14:textId="77777777" w:rsidR="00835913" w:rsidRPr="00334391" w:rsidRDefault="00835913" w:rsidP="003F4EE3">
      <w:pPr>
        <w:spacing w:after="120"/>
        <w:ind w:left="993" w:right="333" w:hanging="426"/>
        <w:jc w:val="both"/>
        <w:rPr>
          <w:rFonts w:ascii="Calibri" w:hAnsi="Calibri" w:cs="Calibri"/>
          <w:bCs/>
        </w:rPr>
      </w:pPr>
    </w:p>
    <w:p w14:paraId="12F880D6" w14:textId="2508F552" w:rsidR="00835913" w:rsidRPr="00334391" w:rsidRDefault="00835913" w:rsidP="003F4EE3">
      <w:pPr>
        <w:spacing w:after="120"/>
        <w:ind w:left="993" w:right="333" w:hanging="426"/>
        <w:jc w:val="both"/>
        <w:rPr>
          <w:rFonts w:ascii="Calibri" w:hAnsi="Calibri" w:cs="Calibri"/>
          <w:b/>
        </w:rPr>
      </w:pPr>
      <w:r w:rsidRPr="00334391">
        <w:rPr>
          <w:rFonts w:ascii="Calibri" w:hAnsi="Calibri" w:cs="Calibri"/>
          <w:b/>
        </w:rPr>
        <w:t>Pedagogy</w:t>
      </w:r>
      <w:r w:rsidR="00334391">
        <w:rPr>
          <w:rFonts w:ascii="Calibri" w:hAnsi="Calibri" w:cs="Calibri"/>
          <w:b/>
        </w:rPr>
        <w:t xml:space="preserve"> &amp; Assessment</w:t>
      </w:r>
    </w:p>
    <w:p w14:paraId="51AC66E7" w14:textId="77777777" w:rsidR="004462D8" w:rsidRDefault="00835913" w:rsidP="004462D8">
      <w:pPr>
        <w:pStyle w:val="ListParagraph"/>
        <w:numPr>
          <w:ilvl w:val="0"/>
          <w:numId w:val="30"/>
        </w:numPr>
        <w:spacing w:after="120"/>
        <w:ind w:left="993" w:right="333" w:hanging="426"/>
        <w:jc w:val="both"/>
        <w:rPr>
          <w:rFonts w:ascii="Calibri" w:hAnsi="Calibri" w:cs="Calibri"/>
          <w:bCs/>
        </w:rPr>
      </w:pPr>
      <w:r w:rsidRPr="00334391">
        <w:rPr>
          <w:rFonts w:ascii="Calibri" w:hAnsi="Calibri" w:cs="Calibri"/>
          <w:bCs/>
        </w:rPr>
        <w:t>Identify and think about your own biases – we all have them – so that they do not unconsciously affect your approaches or your engagement with students.</w:t>
      </w:r>
    </w:p>
    <w:p w14:paraId="1592DB85" w14:textId="77777777" w:rsidR="004462D8" w:rsidRDefault="00835913" w:rsidP="004462D8">
      <w:pPr>
        <w:pStyle w:val="ListParagraph"/>
        <w:numPr>
          <w:ilvl w:val="0"/>
          <w:numId w:val="30"/>
        </w:numPr>
        <w:spacing w:after="120"/>
        <w:ind w:left="993" w:right="333" w:hanging="426"/>
        <w:jc w:val="both"/>
        <w:rPr>
          <w:rFonts w:ascii="Calibri" w:hAnsi="Calibri" w:cs="Calibri"/>
          <w:bCs/>
        </w:rPr>
      </w:pPr>
      <w:r w:rsidRPr="004462D8">
        <w:rPr>
          <w:rFonts w:ascii="Calibri" w:hAnsi="Calibri" w:cs="Calibri"/>
          <w:bCs/>
        </w:rPr>
        <w:t xml:space="preserve">Read work on pedagogy that tackles questions of diversity, coloniality, </w:t>
      </w:r>
      <w:r w:rsidR="00334391" w:rsidRPr="004462D8">
        <w:rPr>
          <w:rFonts w:ascii="Calibri" w:hAnsi="Calibri" w:cs="Calibri"/>
          <w:bCs/>
        </w:rPr>
        <w:t xml:space="preserve">and </w:t>
      </w:r>
      <w:r w:rsidRPr="004462D8">
        <w:rPr>
          <w:rFonts w:ascii="Calibri" w:hAnsi="Calibri" w:cs="Calibri"/>
          <w:bCs/>
        </w:rPr>
        <w:t>inclusion</w:t>
      </w:r>
      <w:r w:rsidR="00334391" w:rsidRPr="004462D8">
        <w:rPr>
          <w:rFonts w:ascii="Calibri" w:hAnsi="Calibri" w:cs="Calibri"/>
          <w:bCs/>
        </w:rPr>
        <w:t>.</w:t>
      </w:r>
    </w:p>
    <w:p w14:paraId="6FB380A5" w14:textId="77777777" w:rsidR="004462D8" w:rsidRDefault="00835913" w:rsidP="004462D8">
      <w:pPr>
        <w:pStyle w:val="ListParagraph"/>
        <w:numPr>
          <w:ilvl w:val="0"/>
          <w:numId w:val="30"/>
        </w:numPr>
        <w:spacing w:after="120"/>
        <w:ind w:left="993" w:right="333" w:hanging="426"/>
        <w:jc w:val="both"/>
        <w:rPr>
          <w:rFonts w:ascii="Calibri" w:hAnsi="Calibri" w:cs="Calibri"/>
          <w:bCs/>
        </w:rPr>
      </w:pPr>
      <w:r w:rsidRPr="004462D8">
        <w:rPr>
          <w:rFonts w:ascii="Calibri" w:hAnsi="Calibri" w:cs="Calibri"/>
          <w:bCs/>
        </w:rPr>
        <w:t xml:space="preserve">Devise ways for students to practice in a </w:t>
      </w:r>
      <w:r w:rsidR="00B45CC4" w:rsidRPr="004462D8">
        <w:rPr>
          <w:rFonts w:ascii="Calibri" w:hAnsi="Calibri" w:cs="Calibri"/>
          <w:bCs/>
        </w:rPr>
        <w:t>low intensity</w:t>
      </w:r>
      <w:r w:rsidRPr="004462D8">
        <w:rPr>
          <w:rFonts w:ascii="Calibri" w:hAnsi="Calibri" w:cs="Calibri"/>
          <w:bCs/>
        </w:rPr>
        <w:t xml:space="preserve"> setting before asked to perform</w:t>
      </w:r>
    </w:p>
    <w:p w14:paraId="0ABBD9F6" w14:textId="6D3A469A" w:rsidR="00835913" w:rsidRPr="004462D8" w:rsidRDefault="00835913" w:rsidP="004462D8">
      <w:pPr>
        <w:pStyle w:val="ListParagraph"/>
        <w:numPr>
          <w:ilvl w:val="0"/>
          <w:numId w:val="30"/>
        </w:numPr>
        <w:spacing w:after="120"/>
        <w:ind w:left="993" w:right="333" w:hanging="426"/>
        <w:jc w:val="both"/>
        <w:rPr>
          <w:rFonts w:ascii="Calibri" w:hAnsi="Calibri" w:cs="Calibri"/>
          <w:bCs/>
        </w:rPr>
      </w:pPr>
      <w:r w:rsidRPr="004462D8">
        <w:rPr>
          <w:rFonts w:ascii="Calibri" w:hAnsi="Calibri" w:cs="Calibri"/>
          <w:bCs/>
        </w:rPr>
        <w:t xml:space="preserve">Be explicit about your assessment criteria in terms of how they </w:t>
      </w:r>
      <w:r w:rsidR="00B45CC4" w:rsidRPr="004462D8">
        <w:rPr>
          <w:rFonts w:ascii="Calibri" w:hAnsi="Calibri" w:cs="Calibri"/>
          <w:bCs/>
        </w:rPr>
        <w:t>relate to learning goals.</w:t>
      </w:r>
      <w:r w:rsidRPr="004462D8">
        <w:rPr>
          <w:rFonts w:ascii="Calibri" w:hAnsi="Calibri" w:cs="Calibri"/>
          <w:bCs/>
        </w:rPr>
        <w:t xml:space="preserve"> </w:t>
      </w:r>
    </w:p>
    <w:p w14:paraId="266FA728" w14:textId="77777777" w:rsidR="00835913" w:rsidRPr="00334391" w:rsidRDefault="00835913" w:rsidP="003F4EE3">
      <w:pPr>
        <w:spacing w:after="120"/>
        <w:ind w:left="993" w:right="333" w:hanging="426"/>
        <w:jc w:val="both"/>
        <w:rPr>
          <w:rFonts w:ascii="Calibri" w:hAnsi="Calibri" w:cs="Calibri"/>
          <w:bCs/>
        </w:rPr>
      </w:pPr>
    </w:p>
    <w:p w14:paraId="2E2525EA" w14:textId="2FB63194" w:rsidR="00835913" w:rsidRPr="00334391" w:rsidRDefault="00835913" w:rsidP="003F4EE3">
      <w:pPr>
        <w:spacing w:after="120"/>
        <w:ind w:left="993" w:right="333" w:hanging="426"/>
        <w:jc w:val="both"/>
        <w:rPr>
          <w:rFonts w:ascii="Calibri" w:hAnsi="Calibri" w:cs="Calibri"/>
          <w:b/>
        </w:rPr>
      </w:pPr>
      <w:r w:rsidRPr="00334391">
        <w:rPr>
          <w:rFonts w:ascii="Calibri" w:hAnsi="Calibri" w:cs="Calibri"/>
          <w:b/>
        </w:rPr>
        <w:t>Climate</w:t>
      </w:r>
      <w:r w:rsidR="00334391">
        <w:rPr>
          <w:rFonts w:ascii="Calibri" w:hAnsi="Calibri" w:cs="Calibri"/>
          <w:b/>
        </w:rPr>
        <w:t xml:space="preserve"> &amp; Questions of Power</w:t>
      </w:r>
    </w:p>
    <w:p w14:paraId="516CB8EC" w14:textId="7D4F5B04" w:rsidR="00835913" w:rsidRPr="00334391" w:rsidRDefault="00835913" w:rsidP="003F4EE3">
      <w:pPr>
        <w:pStyle w:val="ListParagraph"/>
        <w:numPr>
          <w:ilvl w:val="0"/>
          <w:numId w:val="32"/>
        </w:numPr>
        <w:spacing w:after="120"/>
        <w:ind w:left="993" w:right="333" w:hanging="426"/>
        <w:jc w:val="both"/>
        <w:rPr>
          <w:rFonts w:ascii="Calibri" w:hAnsi="Calibri" w:cs="Calibri"/>
          <w:bCs/>
        </w:rPr>
      </w:pPr>
      <w:r w:rsidRPr="00334391">
        <w:rPr>
          <w:rFonts w:ascii="Calibri" w:hAnsi="Calibri" w:cs="Calibri"/>
          <w:bCs/>
        </w:rPr>
        <w:t xml:space="preserve">Include statements at the beginning of handbooks or seminars about course content; confront issues that may arise from </w:t>
      </w:r>
      <w:r w:rsidR="00B45CC4" w:rsidRPr="00334391">
        <w:rPr>
          <w:rFonts w:ascii="Calibri" w:hAnsi="Calibri" w:cs="Calibri"/>
          <w:bCs/>
        </w:rPr>
        <w:t>potentially distressing</w:t>
      </w:r>
      <w:r w:rsidRPr="00334391">
        <w:rPr>
          <w:rFonts w:ascii="Calibri" w:hAnsi="Calibri" w:cs="Calibri"/>
          <w:bCs/>
        </w:rPr>
        <w:t xml:space="preserve"> topics.</w:t>
      </w:r>
    </w:p>
    <w:p w14:paraId="36727B66" w14:textId="1C8844E9" w:rsidR="00B45CC4" w:rsidRPr="00334391" w:rsidRDefault="00B45CC4" w:rsidP="003F4EE3">
      <w:pPr>
        <w:pStyle w:val="ListParagraph"/>
        <w:numPr>
          <w:ilvl w:val="0"/>
          <w:numId w:val="32"/>
        </w:numPr>
        <w:spacing w:after="120"/>
        <w:ind w:left="993" w:right="333" w:hanging="426"/>
        <w:jc w:val="both"/>
        <w:rPr>
          <w:rFonts w:ascii="Calibri" w:hAnsi="Calibri" w:cs="Calibri"/>
          <w:bCs/>
        </w:rPr>
      </w:pPr>
      <w:r w:rsidRPr="00334391">
        <w:rPr>
          <w:rFonts w:ascii="Calibri" w:hAnsi="Calibri" w:cs="Calibri"/>
          <w:bCs/>
        </w:rPr>
        <w:t>Take time to get to know your students as individuals – not as members of specific groups.</w:t>
      </w:r>
    </w:p>
    <w:p w14:paraId="62D49B62" w14:textId="5D4D1308" w:rsidR="00334391" w:rsidRPr="004462D8" w:rsidRDefault="00835913" w:rsidP="003F4EE3">
      <w:pPr>
        <w:pStyle w:val="ListParagraph"/>
        <w:numPr>
          <w:ilvl w:val="0"/>
          <w:numId w:val="32"/>
        </w:numPr>
        <w:spacing w:after="120"/>
        <w:ind w:left="993" w:right="333" w:hanging="426"/>
        <w:jc w:val="both"/>
        <w:rPr>
          <w:rFonts w:ascii="Calibri" w:hAnsi="Calibri" w:cs="Calibri"/>
          <w:bCs/>
        </w:rPr>
      </w:pPr>
      <w:r w:rsidRPr="004462D8">
        <w:rPr>
          <w:rFonts w:ascii="Calibri" w:hAnsi="Calibri" w:cs="Calibri"/>
          <w:bCs/>
        </w:rPr>
        <w:t xml:space="preserve">Gather and respond to anonymous student feedback throughout the course of a module. </w:t>
      </w:r>
    </w:p>
    <w:p w14:paraId="37F828E0" w14:textId="77777777" w:rsidR="00334391" w:rsidRDefault="00835913" w:rsidP="003F4EE3">
      <w:pPr>
        <w:pStyle w:val="ListParagraph"/>
        <w:numPr>
          <w:ilvl w:val="0"/>
          <w:numId w:val="32"/>
        </w:numPr>
        <w:spacing w:after="120"/>
        <w:ind w:left="993" w:right="333" w:hanging="426"/>
        <w:jc w:val="both"/>
        <w:rPr>
          <w:rFonts w:ascii="Calibri" w:hAnsi="Calibri" w:cs="Calibri"/>
          <w:bCs/>
        </w:rPr>
      </w:pPr>
      <w:r w:rsidRPr="00334391">
        <w:rPr>
          <w:rFonts w:ascii="Calibri" w:hAnsi="Calibri" w:cs="Calibri"/>
          <w:bCs/>
        </w:rPr>
        <w:t>Consider how to give students opportunities to share their expertise and experiences; allow them to take leadership roles in the classroom.</w:t>
      </w:r>
    </w:p>
    <w:p w14:paraId="49AF1550" w14:textId="640B0CE8" w:rsidR="00334391" w:rsidRDefault="00835913" w:rsidP="003F4EE3">
      <w:pPr>
        <w:pStyle w:val="ListParagraph"/>
        <w:numPr>
          <w:ilvl w:val="0"/>
          <w:numId w:val="32"/>
        </w:numPr>
        <w:spacing w:after="120"/>
        <w:ind w:left="993" w:right="333" w:hanging="426"/>
        <w:jc w:val="both"/>
        <w:rPr>
          <w:rFonts w:ascii="Calibri" w:hAnsi="Calibri" w:cs="Calibri"/>
          <w:bCs/>
        </w:rPr>
      </w:pPr>
      <w:r w:rsidRPr="00334391">
        <w:rPr>
          <w:rFonts w:ascii="Calibri" w:hAnsi="Calibri" w:cs="Calibri"/>
          <w:bCs/>
        </w:rPr>
        <w:t>When feasible, discuss with students the type of content they would like to see included and allow them to be involved in the pedagogical choices you make</w:t>
      </w:r>
      <w:r w:rsidR="00334391">
        <w:rPr>
          <w:rFonts w:ascii="Calibri" w:hAnsi="Calibri" w:cs="Calibri"/>
          <w:bCs/>
        </w:rPr>
        <w:t>.</w:t>
      </w:r>
    </w:p>
    <w:p w14:paraId="48B922B6" w14:textId="1BEC0CAD" w:rsidR="00835913" w:rsidRPr="00334391" w:rsidRDefault="00835913" w:rsidP="003F4EE3">
      <w:pPr>
        <w:pStyle w:val="ListParagraph"/>
        <w:numPr>
          <w:ilvl w:val="0"/>
          <w:numId w:val="32"/>
        </w:numPr>
        <w:spacing w:after="120"/>
        <w:ind w:left="993" w:right="333" w:hanging="426"/>
        <w:jc w:val="both"/>
        <w:rPr>
          <w:rFonts w:ascii="Calibri" w:hAnsi="Calibri" w:cs="Calibri"/>
          <w:bCs/>
        </w:rPr>
      </w:pPr>
      <w:r w:rsidRPr="00334391">
        <w:rPr>
          <w:rFonts w:ascii="Calibri" w:hAnsi="Calibri" w:cs="Calibri"/>
          <w:bCs/>
        </w:rPr>
        <w:t xml:space="preserve">Encourage students to seek a diversified curriculum. </w:t>
      </w:r>
    </w:p>
    <w:p w14:paraId="63116BBC" w14:textId="7C1252B5" w:rsidR="00933EA1" w:rsidRPr="00334391" w:rsidRDefault="00933EA1" w:rsidP="00334391">
      <w:pPr>
        <w:pStyle w:val="Heading2"/>
        <w:spacing w:after="120"/>
        <w:ind w:left="567"/>
        <w:rPr>
          <w:b/>
          <w:bCs/>
          <w:color w:val="588392"/>
          <w:sz w:val="30"/>
          <w:szCs w:val="30"/>
        </w:rPr>
      </w:pPr>
      <w:bookmarkStart w:id="10" w:name="_Toc49932067"/>
      <w:bookmarkStart w:id="11" w:name="_Toc50019541"/>
      <w:r w:rsidRPr="00334391">
        <w:rPr>
          <w:b/>
          <w:bCs/>
          <w:color w:val="588392"/>
          <w:sz w:val="30"/>
          <w:szCs w:val="30"/>
        </w:rPr>
        <w:t xml:space="preserve">Where </w:t>
      </w:r>
      <w:r w:rsidR="00E85D72">
        <w:rPr>
          <w:b/>
          <w:bCs/>
          <w:color w:val="588392"/>
          <w:sz w:val="30"/>
          <w:szCs w:val="30"/>
        </w:rPr>
        <w:t>c</w:t>
      </w:r>
      <w:r w:rsidRPr="00334391">
        <w:rPr>
          <w:b/>
          <w:bCs/>
          <w:color w:val="588392"/>
          <w:sz w:val="30"/>
          <w:szCs w:val="30"/>
        </w:rPr>
        <w:t xml:space="preserve">an I </w:t>
      </w:r>
      <w:r w:rsidR="00E85D72">
        <w:rPr>
          <w:b/>
          <w:bCs/>
          <w:color w:val="588392"/>
          <w:sz w:val="30"/>
          <w:szCs w:val="30"/>
        </w:rPr>
        <w:t>g</w:t>
      </w:r>
      <w:r w:rsidRPr="00334391">
        <w:rPr>
          <w:b/>
          <w:bCs/>
          <w:color w:val="588392"/>
          <w:sz w:val="30"/>
          <w:szCs w:val="30"/>
        </w:rPr>
        <w:t xml:space="preserve">et </w:t>
      </w:r>
      <w:r w:rsidR="00E85D72">
        <w:rPr>
          <w:b/>
          <w:bCs/>
          <w:color w:val="588392"/>
          <w:sz w:val="30"/>
          <w:szCs w:val="30"/>
        </w:rPr>
        <w:t>h</w:t>
      </w:r>
      <w:r w:rsidRPr="00334391">
        <w:rPr>
          <w:b/>
          <w:bCs/>
          <w:color w:val="588392"/>
          <w:sz w:val="30"/>
          <w:szCs w:val="30"/>
        </w:rPr>
        <w:t>elp?</w:t>
      </w:r>
      <w:bookmarkEnd w:id="10"/>
      <w:bookmarkEnd w:id="11"/>
    </w:p>
    <w:p w14:paraId="531C1FB6" w14:textId="77777777" w:rsidR="009474A1" w:rsidRDefault="009474A1" w:rsidP="00E85D72">
      <w:pPr>
        <w:spacing w:after="120"/>
        <w:jc w:val="both"/>
        <w:rPr>
          <w:rFonts w:ascii="Calibri" w:hAnsi="Calibri" w:cs="Calibri"/>
          <w:bCs/>
          <w:sz w:val="23"/>
          <w:szCs w:val="23"/>
        </w:rPr>
      </w:pPr>
    </w:p>
    <w:p w14:paraId="29300749" w14:textId="7D44105C" w:rsidR="00E85D72" w:rsidRDefault="00E85D72" w:rsidP="00DB16C5">
      <w:pPr>
        <w:pStyle w:val="ListParagraph"/>
        <w:numPr>
          <w:ilvl w:val="0"/>
          <w:numId w:val="29"/>
        </w:numPr>
        <w:spacing w:after="120"/>
        <w:ind w:left="567"/>
        <w:jc w:val="both"/>
        <w:rPr>
          <w:rFonts w:ascii="Calibri" w:hAnsi="Calibri" w:cs="Calibri"/>
          <w:bCs/>
          <w:sz w:val="23"/>
          <w:szCs w:val="23"/>
        </w:rPr>
      </w:pPr>
      <w:r w:rsidRPr="00E85D72">
        <w:rPr>
          <w:rFonts w:ascii="Calibri" w:hAnsi="Calibri" w:cs="Calibri"/>
          <w:bCs/>
          <w:sz w:val="23"/>
          <w:szCs w:val="23"/>
        </w:rPr>
        <w:t>The Higher Education Futures institute (HEFi)</w:t>
      </w:r>
      <w:r>
        <w:rPr>
          <w:rFonts w:ascii="Calibri" w:hAnsi="Calibri" w:cs="Calibri"/>
          <w:bCs/>
          <w:sz w:val="23"/>
          <w:szCs w:val="23"/>
        </w:rPr>
        <w:t xml:space="preserve"> offers </w:t>
      </w:r>
      <w:hyperlink r:id="rId21" w:history="1">
        <w:r w:rsidRPr="00E85D72">
          <w:rPr>
            <w:rStyle w:val="Hyperlink"/>
            <w:rFonts w:ascii="Calibri" w:hAnsi="Calibri" w:cs="Calibri"/>
            <w:bCs/>
            <w:sz w:val="23"/>
            <w:szCs w:val="23"/>
          </w:rPr>
          <w:t>two sessions on Decolonising the Curriculum</w:t>
        </w:r>
      </w:hyperlink>
      <w:r>
        <w:rPr>
          <w:rFonts w:ascii="Calibri" w:hAnsi="Calibri" w:cs="Calibri"/>
          <w:bCs/>
          <w:sz w:val="23"/>
          <w:szCs w:val="23"/>
        </w:rPr>
        <w:t xml:space="preserve"> (‘</w:t>
      </w:r>
      <w:r w:rsidRPr="00E85D72">
        <w:rPr>
          <w:rFonts w:ascii="Calibri" w:hAnsi="Calibri" w:cs="Calibri"/>
          <w:bCs/>
          <w:sz w:val="23"/>
          <w:szCs w:val="23"/>
        </w:rPr>
        <w:t xml:space="preserve">Classroom </w:t>
      </w:r>
      <w:r>
        <w:rPr>
          <w:rFonts w:ascii="Calibri" w:hAnsi="Calibri" w:cs="Calibri"/>
          <w:bCs/>
          <w:sz w:val="23"/>
          <w:szCs w:val="23"/>
        </w:rPr>
        <w:t>c</w:t>
      </w:r>
      <w:r w:rsidRPr="00E85D72">
        <w:rPr>
          <w:rFonts w:ascii="Calibri" w:hAnsi="Calibri" w:cs="Calibri"/>
          <w:bCs/>
          <w:sz w:val="23"/>
          <w:szCs w:val="23"/>
        </w:rPr>
        <w:t xml:space="preserve">ommunication’ and </w:t>
      </w:r>
      <w:r>
        <w:rPr>
          <w:rFonts w:ascii="Calibri" w:hAnsi="Calibri" w:cs="Calibri"/>
          <w:bCs/>
          <w:sz w:val="23"/>
          <w:szCs w:val="23"/>
        </w:rPr>
        <w:t>‘</w:t>
      </w:r>
      <w:r w:rsidRPr="00E85D72">
        <w:rPr>
          <w:rFonts w:ascii="Calibri" w:hAnsi="Calibri" w:cs="Calibri"/>
          <w:bCs/>
          <w:sz w:val="23"/>
          <w:szCs w:val="23"/>
        </w:rPr>
        <w:t>Decolonising the curriculum through resource lists</w:t>
      </w:r>
      <w:r>
        <w:rPr>
          <w:rFonts w:ascii="Calibri" w:hAnsi="Calibri" w:cs="Calibri"/>
          <w:bCs/>
          <w:sz w:val="23"/>
          <w:szCs w:val="23"/>
        </w:rPr>
        <w:t xml:space="preserve">’) </w:t>
      </w:r>
      <w:r w:rsidRPr="00E85D72">
        <w:rPr>
          <w:rFonts w:ascii="Calibri" w:hAnsi="Calibri" w:cs="Calibri"/>
          <w:bCs/>
          <w:sz w:val="23"/>
          <w:szCs w:val="23"/>
        </w:rPr>
        <w:t>delivered by colleagues from the Birmingham International Academy and Library Services</w:t>
      </w:r>
      <w:r>
        <w:rPr>
          <w:rFonts w:ascii="Calibri" w:hAnsi="Calibri" w:cs="Calibri"/>
          <w:bCs/>
          <w:sz w:val="23"/>
          <w:szCs w:val="23"/>
        </w:rPr>
        <w:t xml:space="preserve"> [University of Birmingham log-in required]</w:t>
      </w:r>
    </w:p>
    <w:p w14:paraId="360C501C" w14:textId="77777777" w:rsidR="00E85D72" w:rsidRPr="00E85D72" w:rsidRDefault="00E85D72" w:rsidP="00E85D72">
      <w:pPr>
        <w:pStyle w:val="ListParagraph"/>
        <w:spacing w:after="120"/>
        <w:ind w:left="567"/>
        <w:jc w:val="both"/>
        <w:rPr>
          <w:rFonts w:ascii="Calibri" w:hAnsi="Calibri" w:cs="Calibri"/>
          <w:bCs/>
          <w:sz w:val="23"/>
          <w:szCs w:val="23"/>
        </w:rPr>
      </w:pPr>
    </w:p>
    <w:p w14:paraId="149508D0" w14:textId="6227BAA4" w:rsidR="009474A1" w:rsidRDefault="00FF0C5B" w:rsidP="00DB16C5">
      <w:pPr>
        <w:pStyle w:val="ListParagraph"/>
        <w:numPr>
          <w:ilvl w:val="0"/>
          <w:numId w:val="29"/>
        </w:numPr>
        <w:spacing w:after="120"/>
        <w:ind w:left="567"/>
        <w:jc w:val="both"/>
        <w:rPr>
          <w:rFonts w:ascii="Calibri" w:hAnsi="Calibri" w:cs="Calibri"/>
          <w:bCs/>
          <w:sz w:val="23"/>
          <w:szCs w:val="23"/>
        </w:rPr>
      </w:pPr>
      <w:hyperlink r:id="rId22" w:history="1">
        <w:r w:rsidR="009474A1" w:rsidRPr="00A70BD8">
          <w:rPr>
            <w:rStyle w:val="Hyperlink"/>
            <w:rFonts w:ascii="Calibri" w:hAnsi="Calibri" w:cs="Calibri"/>
            <w:bCs/>
            <w:i/>
            <w:iCs/>
            <w:sz w:val="23"/>
            <w:szCs w:val="23"/>
          </w:rPr>
          <w:t>Decolonise UEA</w:t>
        </w:r>
      </w:hyperlink>
      <w:r w:rsidR="009474A1" w:rsidRPr="009474A1">
        <w:rPr>
          <w:rFonts w:ascii="Calibri" w:hAnsi="Calibri" w:cs="Calibri"/>
          <w:bCs/>
          <w:sz w:val="23"/>
          <w:szCs w:val="23"/>
        </w:rPr>
        <w:t xml:space="preserve"> has created an extensive Zotero library, organised by discipline/sub-discipline, that features a range of resources on decolonising the curriculum</w:t>
      </w:r>
    </w:p>
    <w:p w14:paraId="65E2337A" w14:textId="77777777" w:rsidR="00A70BD8" w:rsidRDefault="00A70BD8" w:rsidP="00A70BD8">
      <w:pPr>
        <w:pStyle w:val="ListParagraph"/>
        <w:spacing w:after="120"/>
        <w:ind w:left="567"/>
        <w:jc w:val="both"/>
        <w:rPr>
          <w:rFonts w:ascii="Calibri" w:hAnsi="Calibri" w:cs="Calibri"/>
          <w:bCs/>
          <w:sz w:val="23"/>
          <w:szCs w:val="23"/>
        </w:rPr>
      </w:pPr>
    </w:p>
    <w:p w14:paraId="3C0C276A" w14:textId="14DFB9A9" w:rsidR="00A70BD8" w:rsidRDefault="00A70BD8" w:rsidP="00A70BD8">
      <w:pPr>
        <w:pStyle w:val="ListParagraph"/>
        <w:numPr>
          <w:ilvl w:val="0"/>
          <w:numId w:val="29"/>
        </w:numPr>
        <w:spacing w:after="120"/>
        <w:ind w:left="567"/>
        <w:jc w:val="both"/>
        <w:rPr>
          <w:rFonts w:ascii="Calibri" w:hAnsi="Calibri" w:cs="Calibri"/>
          <w:bCs/>
          <w:sz w:val="23"/>
          <w:szCs w:val="23"/>
        </w:rPr>
      </w:pPr>
      <w:r w:rsidRPr="00A70BD8">
        <w:rPr>
          <w:rFonts w:ascii="Calibri" w:hAnsi="Calibri" w:cs="Calibri"/>
          <w:bCs/>
          <w:sz w:val="23"/>
          <w:szCs w:val="23"/>
        </w:rPr>
        <w:t xml:space="preserve">The </w:t>
      </w:r>
      <w:hyperlink r:id="rId23" w:history="1">
        <w:r w:rsidRPr="00A70BD8">
          <w:rPr>
            <w:rStyle w:val="Hyperlink"/>
            <w:rFonts w:ascii="Calibri" w:hAnsi="Calibri" w:cs="Calibri"/>
            <w:bCs/>
            <w:sz w:val="23"/>
            <w:szCs w:val="23"/>
          </w:rPr>
          <w:t>Decolonizing the Academy Reading List</w:t>
        </w:r>
      </w:hyperlink>
      <w:r>
        <w:rPr>
          <w:rFonts w:ascii="Calibri" w:hAnsi="Calibri" w:cs="Calibri"/>
          <w:bCs/>
          <w:sz w:val="23"/>
          <w:szCs w:val="23"/>
        </w:rPr>
        <w:t xml:space="preserve"> is contains a range of resources for those wishing to diversify their course material.</w:t>
      </w:r>
    </w:p>
    <w:p w14:paraId="323ACD38" w14:textId="77777777" w:rsidR="00A70BD8" w:rsidRPr="00A70BD8" w:rsidRDefault="00A70BD8" w:rsidP="00A70BD8">
      <w:pPr>
        <w:pStyle w:val="ListParagraph"/>
        <w:spacing w:after="120"/>
        <w:ind w:left="567"/>
        <w:jc w:val="both"/>
        <w:rPr>
          <w:rFonts w:ascii="Calibri" w:hAnsi="Calibri" w:cs="Calibri"/>
          <w:bCs/>
          <w:sz w:val="23"/>
          <w:szCs w:val="23"/>
        </w:rPr>
      </w:pPr>
    </w:p>
    <w:p w14:paraId="24476D1B" w14:textId="36994D64" w:rsidR="00D20DB1" w:rsidRPr="00A70BD8" w:rsidRDefault="00A70BD8" w:rsidP="00A70BD8">
      <w:pPr>
        <w:pStyle w:val="ListParagraph"/>
        <w:numPr>
          <w:ilvl w:val="0"/>
          <w:numId w:val="29"/>
        </w:numPr>
        <w:spacing w:after="120"/>
        <w:ind w:left="567"/>
        <w:jc w:val="both"/>
        <w:rPr>
          <w:rStyle w:val="Hyperlink"/>
          <w:rFonts w:ascii="Calibri" w:hAnsi="Calibri" w:cs="Calibri"/>
          <w:bCs/>
          <w:color w:val="auto"/>
          <w:sz w:val="23"/>
          <w:szCs w:val="23"/>
          <w:u w:val="none"/>
        </w:rPr>
      </w:pPr>
      <w:r w:rsidRPr="00A70BD8">
        <w:rPr>
          <w:rFonts w:ascii="Calibri" w:hAnsi="Calibri" w:cs="Calibri"/>
          <w:sz w:val="23"/>
          <w:szCs w:val="23"/>
        </w:rPr>
        <w:t>The British International Studies Association organised a</w:t>
      </w:r>
      <w:r>
        <w:rPr>
          <w:rFonts w:ascii="Calibri" w:hAnsi="Calibri" w:cs="Calibri"/>
          <w:sz w:val="23"/>
          <w:szCs w:val="23"/>
        </w:rPr>
        <w:t>n</w:t>
      </w:r>
      <w:r w:rsidRPr="00A70BD8">
        <w:rPr>
          <w:rFonts w:ascii="Calibri" w:hAnsi="Calibri" w:cs="Calibri"/>
          <w:sz w:val="23"/>
          <w:szCs w:val="23"/>
        </w:rPr>
        <w:t xml:space="preserve"> </w:t>
      </w:r>
      <w:hyperlink r:id="rId24" w:history="1">
        <w:r>
          <w:rPr>
            <w:rStyle w:val="Hyperlink"/>
            <w:rFonts w:ascii="Calibri" w:hAnsi="Calibri" w:cs="Calibri"/>
            <w:sz w:val="23"/>
            <w:szCs w:val="23"/>
          </w:rPr>
          <w:t>April 2</w:t>
        </w:r>
        <w:r w:rsidRPr="00A70BD8">
          <w:rPr>
            <w:rStyle w:val="Hyperlink"/>
            <w:rFonts w:ascii="Calibri" w:hAnsi="Calibri" w:cs="Calibri"/>
            <w:sz w:val="23"/>
            <w:szCs w:val="23"/>
          </w:rPr>
          <w:t xml:space="preserve">020 </w:t>
        </w:r>
        <w:r w:rsidR="00D20DB1" w:rsidRPr="00A70BD8">
          <w:rPr>
            <w:rStyle w:val="Hyperlink"/>
            <w:rFonts w:ascii="Calibri" w:hAnsi="Calibri" w:cs="Calibri"/>
            <w:sz w:val="23"/>
            <w:szCs w:val="23"/>
          </w:rPr>
          <w:t>Virtual Roundtable</w:t>
        </w:r>
      </w:hyperlink>
      <w:r w:rsidRPr="00A70BD8">
        <w:rPr>
          <w:rFonts w:ascii="Calibri" w:hAnsi="Calibri" w:cs="Calibri"/>
          <w:sz w:val="23"/>
          <w:szCs w:val="23"/>
        </w:rPr>
        <w:t xml:space="preserve"> on ‘</w:t>
      </w:r>
      <w:r w:rsidR="00D20DB1" w:rsidRPr="00A70BD8">
        <w:rPr>
          <w:rFonts w:ascii="Calibri" w:hAnsi="Calibri" w:cs="Calibri"/>
          <w:sz w:val="23"/>
          <w:szCs w:val="23"/>
        </w:rPr>
        <w:t>Decolonising politics curricula: pedagogies, strategies and reflections</w:t>
      </w:r>
      <w:r w:rsidRPr="00A70BD8">
        <w:rPr>
          <w:rFonts w:ascii="Calibri" w:hAnsi="Calibri" w:cs="Calibri"/>
          <w:sz w:val="23"/>
          <w:szCs w:val="23"/>
        </w:rPr>
        <w:t>.’</w:t>
      </w:r>
      <w:r w:rsidR="00D20DB1" w:rsidRPr="00A70BD8">
        <w:rPr>
          <w:rFonts w:ascii="Calibri" w:hAnsi="Calibri" w:cs="Calibri"/>
          <w:sz w:val="23"/>
          <w:szCs w:val="23"/>
        </w:rPr>
        <w:t xml:space="preserve"> </w:t>
      </w:r>
      <w:hyperlink r:id="rId25" w:history="1">
        <w:r w:rsidR="00D20DB1" w:rsidRPr="00A70BD8">
          <w:rPr>
            <w:rStyle w:val="Hyperlink"/>
            <w:rFonts w:ascii="Calibri" w:hAnsi="Calibri" w:cs="Calibri"/>
            <w:sz w:val="23"/>
            <w:szCs w:val="23"/>
          </w:rPr>
          <w:t>https://www.youtube.com/watch?v=iUnsWni6u4A</w:t>
        </w:r>
      </w:hyperlink>
    </w:p>
    <w:p w14:paraId="49B16C6C" w14:textId="77777777" w:rsidR="00A70BD8" w:rsidRPr="00A70BD8" w:rsidRDefault="00A70BD8" w:rsidP="00A70BD8">
      <w:pPr>
        <w:pStyle w:val="ListParagraph"/>
        <w:spacing w:after="120"/>
        <w:ind w:left="567"/>
        <w:jc w:val="both"/>
        <w:rPr>
          <w:rFonts w:ascii="Calibri" w:hAnsi="Calibri" w:cs="Calibri"/>
          <w:bCs/>
          <w:sz w:val="23"/>
          <w:szCs w:val="23"/>
        </w:rPr>
      </w:pPr>
    </w:p>
    <w:p w14:paraId="63315D01" w14:textId="01C1113D" w:rsidR="00D20DB1" w:rsidRPr="00AB46B0" w:rsidRDefault="00A70BD8" w:rsidP="00DB16C5">
      <w:pPr>
        <w:pStyle w:val="ListParagraph"/>
        <w:numPr>
          <w:ilvl w:val="0"/>
          <w:numId w:val="4"/>
        </w:numPr>
        <w:spacing w:after="120"/>
        <w:ind w:left="567"/>
        <w:rPr>
          <w:rFonts w:ascii="Calibri" w:hAnsi="Calibri" w:cs="Calibri"/>
          <w:sz w:val="23"/>
          <w:szCs w:val="23"/>
        </w:rPr>
      </w:pPr>
      <w:r>
        <w:rPr>
          <w:rFonts w:ascii="Calibri" w:hAnsi="Calibri" w:cs="Calibri"/>
          <w:sz w:val="23"/>
          <w:szCs w:val="23"/>
        </w:rPr>
        <w:t xml:space="preserve">The </w:t>
      </w:r>
      <w:r w:rsidR="00D20DB1" w:rsidRPr="00AB46B0">
        <w:rPr>
          <w:rFonts w:ascii="Calibri" w:hAnsi="Calibri" w:cs="Calibri"/>
          <w:sz w:val="23"/>
          <w:szCs w:val="23"/>
        </w:rPr>
        <w:t>University of Amsterdam</w:t>
      </w:r>
      <w:r>
        <w:rPr>
          <w:rFonts w:ascii="Calibri" w:hAnsi="Calibri" w:cs="Calibri"/>
          <w:sz w:val="23"/>
          <w:szCs w:val="23"/>
        </w:rPr>
        <w:t xml:space="preserve"> has developed a Decolonising Europe series of events</w:t>
      </w:r>
    </w:p>
    <w:p w14:paraId="77C9D20A" w14:textId="14FB2E78" w:rsidR="00D20DB1" w:rsidRPr="00AB46B0" w:rsidRDefault="00D20DB1" w:rsidP="00A70BD8">
      <w:pPr>
        <w:pStyle w:val="ListParagraph"/>
        <w:numPr>
          <w:ilvl w:val="2"/>
          <w:numId w:val="4"/>
        </w:numPr>
        <w:spacing w:after="120"/>
        <w:rPr>
          <w:rFonts w:ascii="Calibri" w:hAnsi="Calibri" w:cs="Calibri"/>
          <w:sz w:val="23"/>
          <w:szCs w:val="23"/>
        </w:rPr>
      </w:pPr>
      <w:r w:rsidRPr="00AB46B0">
        <w:rPr>
          <w:rFonts w:ascii="Calibri" w:hAnsi="Calibri" w:cs="Calibri"/>
          <w:sz w:val="23"/>
          <w:szCs w:val="23"/>
        </w:rPr>
        <w:t xml:space="preserve">Decolonising Europe #1: </w:t>
      </w:r>
      <w:hyperlink r:id="rId26" w:history="1">
        <w:r w:rsidRPr="00A70BD8">
          <w:rPr>
            <w:rStyle w:val="Hyperlink"/>
            <w:rFonts w:ascii="Calibri" w:hAnsi="Calibri" w:cs="Calibri"/>
            <w:sz w:val="23"/>
            <w:szCs w:val="23"/>
          </w:rPr>
          <w:t>Decentering Europe</w:t>
        </w:r>
      </w:hyperlink>
      <w:r w:rsidRPr="00AB46B0">
        <w:rPr>
          <w:rFonts w:ascii="Calibri" w:hAnsi="Calibri" w:cs="Calibri"/>
          <w:sz w:val="23"/>
          <w:szCs w:val="23"/>
        </w:rPr>
        <w:t xml:space="preserve"> </w:t>
      </w:r>
    </w:p>
    <w:p w14:paraId="49027884" w14:textId="77777777" w:rsidR="00A70BD8" w:rsidRDefault="00D20DB1" w:rsidP="00A70BD8">
      <w:pPr>
        <w:pStyle w:val="ListParagraph"/>
        <w:numPr>
          <w:ilvl w:val="2"/>
          <w:numId w:val="4"/>
        </w:numPr>
        <w:spacing w:after="120"/>
        <w:rPr>
          <w:rFonts w:ascii="Calibri" w:hAnsi="Calibri" w:cs="Calibri"/>
          <w:sz w:val="23"/>
          <w:szCs w:val="23"/>
        </w:rPr>
      </w:pPr>
      <w:r w:rsidRPr="00AB46B0">
        <w:rPr>
          <w:rFonts w:ascii="Calibri" w:hAnsi="Calibri" w:cs="Calibri"/>
          <w:sz w:val="23"/>
          <w:szCs w:val="23"/>
        </w:rPr>
        <w:t xml:space="preserve">Decolonising Europe #2: </w:t>
      </w:r>
      <w:hyperlink r:id="rId27" w:history="1">
        <w:r w:rsidRPr="00A70BD8">
          <w:rPr>
            <w:rStyle w:val="Hyperlink"/>
            <w:rFonts w:ascii="Calibri" w:hAnsi="Calibri" w:cs="Calibri"/>
            <w:sz w:val="23"/>
            <w:szCs w:val="23"/>
          </w:rPr>
          <w:t>Who gets to speak? The exclusion of voices in academia and society</w:t>
        </w:r>
        <w:r w:rsidR="00A70BD8" w:rsidRPr="00A70BD8">
          <w:rPr>
            <w:rStyle w:val="Hyperlink"/>
            <w:rFonts w:ascii="Calibri" w:hAnsi="Calibri" w:cs="Calibri"/>
            <w:sz w:val="23"/>
            <w:szCs w:val="23"/>
          </w:rPr>
          <w:t>.</w:t>
        </w:r>
      </w:hyperlink>
    </w:p>
    <w:p w14:paraId="530FB9CD" w14:textId="3530DA03" w:rsidR="00D20DB1" w:rsidRPr="00A70BD8" w:rsidRDefault="00D20DB1" w:rsidP="00A70BD8">
      <w:pPr>
        <w:pStyle w:val="ListParagraph"/>
        <w:numPr>
          <w:ilvl w:val="2"/>
          <w:numId w:val="4"/>
        </w:numPr>
        <w:spacing w:after="120"/>
        <w:rPr>
          <w:rFonts w:ascii="Calibri" w:hAnsi="Calibri" w:cs="Calibri"/>
          <w:sz w:val="23"/>
          <w:szCs w:val="23"/>
        </w:rPr>
      </w:pPr>
      <w:r w:rsidRPr="00A70BD8">
        <w:rPr>
          <w:rFonts w:ascii="Calibri" w:hAnsi="Calibri" w:cs="Calibri"/>
          <w:sz w:val="23"/>
          <w:szCs w:val="23"/>
        </w:rPr>
        <w:t xml:space="preserve">Decolonising Europe #3: </w:t>
      </w:r>
      <w:hyperlink r:id="rId28" w:history="1">
        <w:r w:rsidRPr="00A70BD8">
          <w:rPr>
            <w:rStyle w:val="Hyperlink"/>
            <w:rFonts w:ascii="Calibri" w:hAnsi="Calibri" w:cs="Calibri"/>
            <w:sz w:val="23"/>
            <w:szCs w:val="23"/>
          </w:rPr>
          <w:t>Rethinking European-Ottoman Encounters</w:t>
        </w:r>
      </w:hyperlink>
    </w:p>
    <w:p w14:paraId="60DCB62D" w14:textId="77777777" w:rsidR="00A70BD8" w:rsidRDefault="00A70BD8" w:rsidP="00A70BD8">
      <w:pPr>
        <w:pStyle w:val="ListParagraph"/>
        <w:spacing w:after="120"/>
        <w:ind w:left="567"/>
        <w:rPr>
          <w:rFonts w:ascii="Calibri" w:hAnsi="Calibri" w:cs="Calibri"/>
          <w:sz w:val="23"/>
          <w:szCs w:val="23"/>
        </w:rPr>
      </w:pPr>
    </w:p>
    <w:p w14:paraId="1D57C18B" w14:textId="0CECB304" w:rsidR="00D20DB1" w:rsidRDefault="00FF0C5B" w:rsidP="00DB16C5">
      <w:pPr>
        <w:pStyle w:val="ListParagraph"/>
        <w:numPr>
          <w:ilvl w:val="0"/>
          <w:numId w:val="5"/>
        </w:numPr>
        <w:spacing w:after="120"/>
        <w:ind w:left="567"/>
        <w:rPr>
          <w:rFonts w:ascii="Calibri" w:hAnsi="Calibri" w:cs="Calibri"/>
          <w:sz w:val="23"/>
          <w:szCs w:val="23"/>
        </w:rPr>
      </w:pPr>
      <w:hyperlink r:id="rId29" w:history="1">
        <w:r w:rsidR="00D20DB1" w:rsidRPr="00E85D72">
          <w:rPr>
            <w:rStyle w:val="Hyperlink"/>
            <w:rFonts w:ascii="Calibri" w:hAnsi="Calibri" w:cs="Calibri"/>
            <w:sz w:val="23"/>
            <w:szCs w:val="23"/>
          </w:rPr>
          <w:t>The Runnymede Trust</w:t>
        </w:r>
      </w:hyperlink>
      <w:r w:rsidR="00D20DB1" w:rsidRPr="00AB46B0">
        <w:rPr>
          <w:rFonts w:ascii="Calibri" w:hAnsi="Calibri" w:cs="Calibri"/>
          <w:sz w:val="23"/>
          <w:szCs w:val="23"/>
        </w:rPr>
        <w:t xml:space="preserve"> </w:t>
      </w:r>
      <w:r w:rsidR="00E85D72">
        <w:rPr>
          <w:rFonts w:ascii="Calibri" w:hAnsi="Calibri" w:cs="Calibri"/>
          <w:sz w:val="23"/>
          <w:szCs w:val="23"/>
        </w:rPr>
        <w:t xml:space="preserve">is the UK’s leading independent race equality think tank, offering a range of publications and resources, including the report of the </w:t>
      </w:r>
      <w:hyperlink r:id="rId30" w:history="1">
        <w:r w:rsidR="00E85D72" w:rsidRPr="00E85D72">
          <w:rPr>
            <w:rStyle w:val="Hyperlink"/>
            <w:rFonts w:ascii="Calibri" w:hAnsi="Calibri" w:cs="Calibri"/>
            <w:sz w:val="23"/>
            <w:szCs w:val="23"/>
          </w:rPr>
          <w:t>Commission on the Future of Multi-Ethnic Britain</w:t>
        </w:r>
      </w:hyperlink>
      <w:r w:rsidR="00E85D72">
        <w:rPr>
          <w:rFonts w:ascii="Calibri" w:hAnsi="Calibri" w:cs="Calibri"/>
          <w:sz w:val="23"/>
          <w:szCs w:val="23"/>
        </w:rPr>
        <w:t>.</w:t>
      </w:r>
    </w:p>
    <w:p w14:paraId="121D5766" w14:textId="77777777" w:rsidR="00E85D72" w:rsidRPr="00E85D72" w:rsidRDefault="00E85D72" w:rsidP="00E85D72">
      <w:pPr>
        <w:pStyle w:val="ListParagraph"/>
        <w:spacing w:after="120"/>
        <w:ind w:left="567"/>
        <w:jc w:val="both"/>
        <w:rPr>
          <w:rFonts w:ascii="Calibri" w:hAnsi="Calibri" w:cs="Calibri"/>
          <w:sz w:val="23"/>
          <w:szCs w:val="23"/>
          <w:lang w:val="de-DE"/>
        </w:rPr>
      </w:pPr>
    </w:p>
    <w:p w14:paraId="53DB0F67" w14:textId="72EF62F8" w:rsidR="00477AF0" w:rsidRPr="00E85D72" w:rsidRDefault="00E85D72" w:rsidP="00E85D72">
      <w:pPr>
        <w:pStyle w:val="ListParagraph"/>
        <w:numPr>
          <w:ilvl w:val="0"/>
          <w:numId w:val="5"/>
        </w:numPr>
        <w:spacing w:after="120"/>
        <w:ind w:left="567"/>
        <w:jc w:val="both"/>
        <w:rPr>
          <w:rFonts w:ascii="Calibri" w:hAnsi="Calibri" w:cs="Calibri"/>
          <w:sz w:val="23"/>
          <w:szCs w:val="23"/>
        </w:rPr>
      </w:pPr>
      <w:r>
        <w:rPr>
          <w:rFonts w:ascii="Calibri" w:hAnsi="Calibri" w:cs="Calibri"/>
          <w:sz w:val="23"/>
          <w:szCs w:val="23"/>
          <w:lang w:val="de-DE"/>
        </w:rPr>
        <w:t xml:space="preserve">The </w:t>
      </w:r>
      <w:hyperlink r:id="rId31" w:history="1">
        <w:r w:rsidR="00D20DB1" w:rsidRPr="00E85D72">
          <w:rPr>
            <w:rStyle w:val="Hyperlink"/>
            <w:rFonts w:ascii="Calibri" w:hAnsi="Calibri" w:cs="Calibri"/>
            <w:sz w:val="23"/>
            <w:szCs w:val="23"/>
          </w:rPr>
          <w:t>Black Cultural Archives</w:t>
        </w:r>
      </w:hyperlink>
      <w:r>
        <w:rPr>
          <w:rFonts w:ascii="Calibri" w:hAnsi="Calibri" w:cs="Calibri"/>
          <w:sz w:val="23"/>
          <w:szCs w:val="23"/>
        </w:rPr>
        <w:t xml:space="preserve"> is the only national heritage centre dedicated to collecting, preserving and celebrating the histories of African and Caribbean people in Britain.</w:t>
      </w:r>
    </w:p>
    <w:p w14:paraId="6A84134A" w14:textId="77777777" w:rsidR="00477AF0" w:rsidRDefault="00477AF0" w:rsidP="00477AF0">
      <w:pPr>
        <w:pStyle w:val="ListParagraph"/>
        <w:spacing w:after="120"/>
        <w:ind w:left="567"/>
        <w:jc w:val="both"/>
      </w:pPr>
    </w:p>
    <w:p w14:paraId="2F012D22" w14:textId="302A6C3B" w:rsidR="00477AF0" w:rsidRPr="00477AF0" w:rsidRDefault="00477AF0" w:rsidP="00477AF0">
      <w:pPr>
        <w:pStyle w:val="IntenseQuote"/>
        <w:rPr>
          <w:rFonts w:ascii="Calibri" w:hAnsi="Calibri" w:cs="Calibri"/>
          <w:sz w:val="23"/>
          <w:szCs w:val="23"/>
        </w:rPr>
      </w:pPr>
      <w:r w:rsidRPr="00477AF0">
        <w:t>“Being the only Muslim or Black student in some of my seminars where extremely sensitive topics are being discussed regarding race or religion can make me feel isolated. I feel like I would be much more comfortable speaking up in seminars debating or calling out harmful views that non-BAME students have. Not only do I have to worry about that, but I feel like a</w:t>
      </w:r>
      <w:r w:rsidR="00023BF7">
        <w:t xml:space="preserve"> </w:t>
      </w:r>
      <w:r w:rsidRPr="00477AF0">
        <w:t>lot of BAME students deal with imposter syndrome too. All these factors make me feel extremely uncomfortable.”</w:t>
      </w:r>
    </w:p>
    <w:p w14:paraId="732BDB17" w14:textId="170FC697" w:rsidR="00933EA1" w:rsidRPr="00334391" w:rsidRDefault="00933EA1" w:rsidP="00E85D72">
      <w:pPr>
        <w:pStyle w:val="Heading2"/>
        <w:spacing w:after="120"/>
        <w:ind w:firstLine="567"/>
        <w:rPr>
          <w:b/>
          <w:bCs/>
          <w:color w:val="588392"/>
          <w:sz w:val="30"/>
          <w:szCs w:val="30"/>
        </w:rPr>
      </w:pPr>
      <w:bookmarkStart w:id="12" w:name="_Toc49932068"/>
      <w:bookmarkStart w:id="13" w:name="_Toc50019542"/>
      <w:r w:rsidRPr="00334391">
        <w:rPr>
          <w:b/>
          <w:bCs/>
          <w:color w:val="588392"/>
          <w:sz w:val="30"/>
          <w:szCs w:val="30"/>
        </w:rPr>
        <w:t>FAQs</w:t>
      </w:r>
      <w:bookmarkEnd w:id="12"/>
      <w:bookmarkEnd w:id="13"/>
    </w:p>
    <w:p w14:paraId="14F1C1D4" w14:textId="1C97EAE0" w:rsidR="00933EA1" w:rsidRDefault="00933EA1" w:rsidP="00DB16C5">
      <w:pPr>
        <w:spacing w:after="120"/>
        <w:ind w:left="567"/>
        <w:jc w:val="both"/>
        <w:rPr>
          <w:rFonts w:ascii="Calibri" w:hAnsi="Calibri" w:cs="Calibri"/>
          <w:bCs/>
          <w:sz w:val="23"/>
          <w:szCs w:val="23"/>
        </w:rPr>
      </w:pPr>
    </w:p>
    <w:p w14:paraId="323C1158" w14:textId="111C2D20" w:rsidR="000A25C1" w:rsidRPr="00334391" w:rsidRDefault="00246523"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Is the Decolonise the Curriculum process compulsory</w:t>
      </w:r>
      <w:r w:rsidR="00B45CC4" w:rsidRPr="00334391">
        <w:rPr>
          <w:rFonts w:ascii="Calibri" w:hAnsi="Calibri" w:cs="Calibri"/>
          <w:b/>
        </w:rPr>
        <w:t xml:space="preserve"> in the School of Government</w:t>
      </w:r>
      <w:r w:rsidRPr="00334391">
        <w:rPr>
          <w:rFonts w:ascii="Calibri" w:hAnsi="Calibri" w:cs="Calibri"/>
          <w:b/>
        </w:rPr>
        <w:t>?</w:t>
      </w:r>
    </w:p>
    <w:p w14:paraId="3B622498" w14:textId="53898785" w:rsidR="00B45CC4" w:rsidRPr="00334391" w:rsidRDefault="00B45CC4" w:rsidP="00DB16C5">
      <w:pPr>
        <w:spacing w:after="120"/>
        <w:ind w:left="567"/>
        <w:jc w:val="both"/>
        <w:rPr>
          <w:rFonts w:ascii="Calibri" w:hAnsi="Calibri" w:cs="Calibri"/>
          <w:bCs/>
        </w:rPr>
      </w:pPr>
      <w:r w:rsidRPr="00334391">
        <w:rPr>
          <w:rFonts w:ascii="Calibri" w:hAnsi="Calibri" w:cs="Calibri"/>
          <w:bCs/>
        </w:rPr>
        <w:t>No, it is neither compulsory nor treated as such. Instead, it is a response to the established need to revise our curriculum content as we move away from presenting the white intellectual tradition of the Global North as superior and universal.</w:t>
      </w:r>
    </w:p>
    <w:p w14:paraId="1EB765D5" w14:textId="77777777" w:rsidR="00B45CC4" w:rsidRPr="00334391" w:rsidRDefault="00B45CC4" w:rsidP="00DB16C5">
      <w:pPr>
        <w:spacing w:after="120"/>
        <w:ind w:left="567"/>
        <w:jc w:val="both"/>
        <w:rPr>
          <w:rFonts w:ascii="Calibri" w:hAnsi="Calibri" w:cs="Calibri"/>
          <w:bCs/>
        </w:rPr>
      </w:pPr>
    </w:p>
    <w:p w14:paraId="2395396B" w14:textId="42C55840" w:rsidR="00246523" w:rsidRPr="00334391" w:rsidRDefault="00246523"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 xml:space="preserve">Does the Decolonise the Curriculum agenda expect us to stop teaching the </w:t>
      </w:r>
      <w:r w:rsidR="00F67562" w:rsidRPr="00334391">
        <w:rPr>
          <w:rFonts w:ascii="Calibri" w:hAnsi="Calibri" w:cs="Calibri"/>
          <w:b/>
        </w:rPr>
        <w:t xml:space="preserve">Western </w:t>
      </w:r>
      <w:r w:rsidRPr="00334391">
        <w:rPr>
          <w:rFonts w:ascii="Calibri" w:hAnsi="Calibri" w:cs="Calibri"/>
          <w:b/>
        </w:rPr>
        <w:t>canon?</w:t>
      </w:r>
    </w:p>
    <w:p w14:paraId="1E91D82C" w14:textId="50DAB979" w:rsidR="00B45CC4" w:rsidRPr="00334391" w:rsidRDefault="00B45CC4" w:rsidP="00DB16C5">
      <w:pPr>
        <w:spacing w:after="120"/>
        <w:ind w:left="567"/>
        <w:jc w:val="both"/>
        <w:rPr>
          <w:rFonts w:ascii="Calibri" w:hAnsi="Calibri" w:cs="Calibri"/>
          <w:bCs/>
        </w:rPr>
      </w:pPr>
      <w:r w:rsidRPr="00334391">
        <w:rPr>
          <w:rFonts w:ascii="Calibri" w:hAnsi="Calibri" w:cs="Calibri"/>
          <w:bCs/>
        </w:rPr>
        <w:t>There is no expectation that only certain authors or viewpoints should be included in one’s curriculum. However, there is an expectation that an inclusive higher education needs to allow all students to see themselves and their cultural backgrounds reflected in the curriculum.</w:t>
      </w:r>
    </w:p>
    <w:p w14:paraId="62D0AE66" w14:textId="0BEF5ED2" w:rsidR="000A25C1" w:rsidRPr="00334391" w:rsidRDefault="000A25C1" w:rsidP="00DB16C5">
      <w:pPr>
        <w:spacing w:after="120"/>
        <w:ind w:left="567"/>
        <w:jc w:val="both"/>
        <w:rPr>
          <w:rFonts w:ascii="Calibri" w:hAnsi="Calibri" w:cs="Calibri"/>
          <w:b/>
        </w:rPr>
      </w:pPr>
    </w:p>
    <w:p w14:paraId="344974CD" w14:textId="6FD5F3A7" w:rsidR="000E04D6" w:rsidRPr="00334391" w:rsidRDefault="000E04D6"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How do you expect teaching staff to find the time to decolonise our approaches at this time?</w:t>
      </w:r>
    </w:p>
    <w:p w14:paraId="36530C9E" w14:textId="77777777" w:rsidR="00B45CC4" w:rsidRPr="00334391" w:rsidRDefault="00546A83" w:rsidP="00DB16C5">
      <w:pPr>
        <w:spacing w:after="120"/>
        <w:ind w:left="567"/>
        <w:jc w:val="both"/>
        <w:rPr>
          <w:rFonts w:ascii="Calibri" w:hAnsi="Calibri" w:cs="Calibri"/>
          <w:bCs/>
        </w:rPr>
      </w:pPr>
      <w:r w:rsidRPr="00334391">
        <w:rPr>
          <w:rFonts w:ascii="Calibri" w:hAnsi="Calibri" w:cs="Calibri"/>
          <w:bCs/>
        </w:rPr>
        <w:t>There is no expectation to decolonise your teaching at this moment. If you do want to make a start, it can be helpful to remember that d</w:t>
      </w:r>
      <w:r w:rsidR="004C33EC" w:rsidRPr="00334391">
        <w:rPr>
          <w:rFonts w:ascii="Calibri" w:hAnsi="Calibri" w:cs="Calibri"/>
          <w:bCs/>
        </w:rPr>
        <w:t xml:space="preserve">ecolonising is not something that can be done </w:t>
      </w:r>
      <w:r w:rsidR="00F57CE2" w:rsidRPr="00334391">
        <w:rPr>
          <w:rFonts w:ascii="Calibri" w:hAnsi="Calibri" w:cs="Calibri"/>
          <w:bCs/>
        </w:rPr>
        <w:t xml:space="preserve">in one go, but rather </w:t>
      </w:r>
      <w:r w:rsidRPr="00334391">
        <w:rPr>
          <w:rFonts w:ascii="Calibri" w:hAnsi="Calibri" w:cs="Calibri"/>
          <w:bCs/>
        </w:rPr>
        <w:t>it</w:t>
      </w:r>
      <w:r w:rsidR="000A25C1" w:rsidRPr="00334391">
        <w:rPr>
          <w:rFonts w:ascii="Calibri" w:hAnsi="Calibri" w:cs="Calibri"/>
          <w:bCs/>
        </w:rPr>
        <w:t xml:space="preserve"> i</w:t>
      </w:r>
      <w:r w:rsidRPr="00334391">
        <w:rPr>
          <w:rFonts w:ascii="Calibri" w:hAnsi="Calibri" w:cs="Calibri"/>
          <w:bCs/>
        </w:rPr>
        <w:t xml:space="preserve">s </w:t>
      </w:r>
      <w:r w:rsidR="00F57CE2" w:rsidRPr="00334391">
        <w:rPr>
          <w:rFonts w:ascii="Calibri" w:hAnsi="Calibri" w:cs="Calibri"/>
          <w:bCs/>
        </w:rPr>
        <w:t xml:space="preserve">an ongoing process. </w:t>
      </w:r>
      <w:r w:rsidRPr="00334391">
        <w:rPr>
          <w:rFonts w:ascii="Calibri" w:hAnsi="Calibri" w:cs="Calibri"/>
          <w:bCs/>
        </w:rPr>
        <w:t>You do not need to put pressure on yourself to overhaul an entire module. Instead, you could start with one week’s topic, and think about how that might be transformed with a decolonial approach.</w:t>
      </w:r>
      <w:r w:rsidR="000A25C1" w:rsidRPr="00334391">
        <w:rPr>
          <w:rFonts w:ascii="Calibri" w:hAnsi="Calibri" w:cs="Calibri"/>
          <w:bCs/>
        </w:rPr>
        <w:t xml:space="preserve"> </w:t>
      </w:r>
      <w:r w:rsidR="001079CE" w:rsidRPr="00334391">
        <w:rPr>
          <w:rFonts w:ascii="Calibri" w:hAnsi="Calibri" w:cs="Calibri"/>
          <w:bCs/>
        </w:rPr>
        <w:t>There is also an opportunity though at this time of heavy teaching workloads, as decolonising the curriculum can also transform our research as well</w:t>
      </w:r>
      <w:r w:rsidRPr="00334391">
        <w:rPr>
          <w:rFonts w:ascii="Calibri" w:hAnsi="Calibri" w:cs="Calibri"/>
          <w:bCs/>
        </w:rPr>
        <w:t xml:space="preserve">, helping us think about our research area in new and creative ways. </w:t>
      </w:r>
    </w:p>
    <w:p w14:paraId="1A5D8228" w14:textId="77777777" w:rsidR="00B45CC4" w:rsidRPr="00334391" w:rsidRDefault="00B45CC4" w:rsidP="00DB16C5">
      <w:pPr>
        <w:spacing w:after="120"/>
        <w:ind w:left="567"/>
        <w:jc w:val="both"/>
        <w:rPr>
          <w:rFonts w:ascii="Calibri" w:hAnsi="Calibri" w:cs="Calibri"/>
          <w:b/>
        </w:rPr>
      </w:pPr>
    </w:p>
    <w:p w14:paraId="6E0349C6" w14:textId="6BC2925A" w:rsidR="001079CE" w:rsidRPr="00334391" w:rsidRDefault="00246523" w:rsidP="00DB16C5">
      <w:pPr>
        <w:pStyle w:val="ListParagraph"/>
        <w:numPr>
          <w:ilvl w:val="0"/>
          <w:numId w:val="34"/>
        </w:numPr>
        <w:spacing w:after="120"/>
        <w:ind w:left="567"/>
        <w:jc w:val="both"/>
        <w:rPr>
          <w:rFonts w:ascii="Calibri" w:hAnsi="Calibri" w:cs="Calibri"/>
          <w:bCs/>
        </w:rPr>
      </w:pPr>
      <w:r w:rsidRPr="00334391">
        <w:rPr>
          <w:rFonts w:ascii="Calibri" w:hAnsi="Calibri" w:cs="Calibri"/>
          <w:b/>
        </w:rPr>
        <w:t xml:space="preserve">I respect the Decolonise the Curriculum agenda, but I really do not think my module needs any </w:t>
      </w:r>
      <w:r w:rsidR="00C6538A" w:rsidRPr="00334391">
        <w:rPr>
          <w:rFonts w:ascii="Calibri" w:hAnsi="Calibri" w:cs="Calibri"/>
          <w:b/>
        </w:rPr>
        <w:t xml:space="preserve">further </w:t>
      </w:r>
      <w:r w:rsidRPr="00334391">
        <w:rPr>
          <w:rFonts w:ascii="Calibri" w:hAnsi="Calibri" w:cs="Calibri"/>
          <w:b/>
        </w:rPr>
        <w:t>changes.</w:t>
      </w:r>
    </w:p>
    <w:p w14:paraId="3D80365B" w14:textId="7E288F17" w:rsidR="00C6538A" w:rsidRPr="00334391" w:rsidRDefault="00C6538A" w:rsidP="00DB16C5">
      <w:pPr>
        <w:spacing w:after="120"/>
        <w:ind w:left="567"/>
        <w:jc w:val="both"/>
        <w:rPr>
          <w:rFonts w:ascii="Calibri" w:hAnsi="Calibri" w:cs="Calibri"/>
          <w:bCs/>
        </w:rPr>
      </w:pPr>
      <w:r w:rsidRPr="00334391">
        <w:rPr>
          <w:rFonts w:ascii="Calibri" w:hAnsi="Calibri" w:cs="Calibri"/>
          <w:bCs/>
        </w:rPr>
        <w:t>If you have made particular changes that you believe have produced positive results, please do share them your colleagues! But do recognise that the Decolonise process is much more ambitious and relies on continuous work. Think about your pedagogy, and how own biases and social identities may feature into it; consider whether any student might have felt marginalised because of things like race, class, gender, sexuality; decide whether your module might still need to be updated to bring tumultuous events of the past few months and years into discussion.</w:t>
      </w:r>
    </w:p>
    <w:p w14:paraId="3BC7C3BB" w14:textId="7DF14CAB" w:rsidR="004462D8" w:rsidRDefault="004462D8">
      <w:pPr>
        <w:rPr>
          <w:rFonts w:ascii="Calibri" w:hAnsi="Calibri" w:cs="Calibri"/>
          <w:b/>
        </w:rPr>
      </w:pPr>
    </w:p>
    <w:p w14:paraId="1E435017" w14:textId="6D4644BC" w:rsidR="00246523" w:rsidRPr="00334391" w:rsidRDefault="00246523"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I respect the Decolonise the Curriculum agenda, but there are really no BAME scholars writing on the topics that I am teaching.</w:t>
      </w:r>
    </w:p>
    <w:p w14:paraId="3F55FF23" w14:textId="5A4A14A8" w:rsidR="00A43D68" w:rsidRPr="00334391" w:rsidRDefault="00A43D68" w:rsidP="00DB16C5">
      <w:pPr>
        <w:spacing w:after="120"/>
        <w:ind w:left="567"/>
        <w:jc w:val="both"/>
        <w:rPr>
          <w:rFonts w:ascii="Calibri" w:hAnsi="Calibri" w:cs="Calibri"/>
          <w:bCs/>
        </w:rPr>
      </w:pPr>
      <w:r w:rsidRPr="00334391">
        <w:rPr>
          <w:rFonts w:ascii="Calibri" w:hAnsi="Calibri" w:cs="Calibri"/>
          <w:bCs/>
        </w:rPr>
        <w:t xml:space="preserve">Decolonising the curriculum by definition means stepping outside the usual boundaries of our curriculum. It is worth remembering that </w:t>
      </w:r>
      <w:r w:rsidRPr="00334391">
        <w:rPr>
          <w:rFonts w:ascii="Calibri" w:hAnsi="Calibri" w:cs="Calibri"/>
          <w:bCs/>
          <w:i/>
          <w:iCs/>
        </w:rPr>
        <w:t>decolonising</w:t>
      </w:r>
      <w:r w:rsidRPr="00334391">
        <w:rPr>
          <w:rFonts w:ascii="Calibri" w:hAnsi="Calibri" w:cs="Calibri"/>
          <w:bCs/>
        </w:rPr>
        <w:t xml:space="preserve"> is not the same as </w:t>
      </w:r>
      <w:r w:rsidRPr="00334391">
        <w:rPr>
          <w:rFonts w:ascii="Calibri" w:hAnsi="Calibri" w:cs="Calibri"/>
          <w:bCs/>
          <w:i/>
          <w:iCs/>
        </w:rPr>
        <w:t>diversifying</w:t>
      </w:r>
      <w:r w:rsidRPr="00334391">
        <w:rPr>
          <w:rFonts w:ascii="Calibri" w:hAnsi="Calibri" w:cs="Calibri"/>
          <w:bCs/>
        </w:rPr>
        <w:t xml:space="preserve"> the reading </w:t>
      </w:r>
      <w:r w:rsidR="000A25C1" w:rsidRPr="00334391">
        <w:rPr>
          <w:rFonts w:ascii="Calibri" w:hAnsi="Calibri" w:cs="Calibri"/>
          <w:bCs/>
        </w:rPr>
        <w:t>list</w:t>
      </w:r>
      <w:r w:rsidR="00C6538A" w:rsidRPr="00334391">
        <w:rPr>
          <w:rFonts w:ascii="Calibri" w:hAnsi="Calibri" w:cs="Calibri"/>
          <w:bCs/>
        </w:rPr>
        <w:t xml:space="preserve">. It expects us to </w:t>
      </w:r>
      <w:r w:rsidRPr="00334391">
        <w:rPr>
          <w:rFonts w:ascii="Calibri" w:hAnsi="Calibri" w:cs="Calibri"/>
          <w:bCs/>
        </w:rPr>
        <w:t xml:space="preserve">look critically at the assumptions underpinning our disciplines. </w:t>
      </w:r>
      <w:r w:rsidR="00C6538A" w:rsidRPr="00334391">
        <w:rPr>
          <w:rFonts w:ascii="Calibri" w:hAnsi="Calibri" w:cs="Calibri"/>
          <w:bCs/>
        </w:rPr>
        <w:t>For instance, m</w:t>
      </w:r>
      <w:r w:rsidRPr="00334391">
        <w:rPr>
          <w:rFonts w:ascii="Calibri" w:hAnsi="Calibri" w:cs="Calibri"/>
          <w:bCs/>
        </w:rPr>
        <w:t xml:space="preserve">ainstream journals </w:t>
      </w:r>
      <w:r w:rsidR="00C6538A" w:rsidRPr="00334391">
        <w:rPr>
          <w:rFonts w:ascii="Calibri" w:hAnsi="Calibri" w:cs="Calibri"/>
          <w:bCs/>
        </w:rPr>
        <w:t>tend to be</w:t>
      </w:r>
      <w:r w:rsidRPr="00334391">
        <w:rPr>
          <w:rFonts w:ascii="Calibri" w:hAnsi="Calibri" w:cs="Calibri"/>
          <w:bCs/>
        </w:rPr>
        <w:t xml:space="preserve"> dominated by white scholars from the Global North</w:t>
      </w:r>
      <w:r w:rsidR="00C6538A" w:rsidRPr="00334391">
        <w:rPr>
          <w:rFonts w:ascii="Calibri" w:hAnsi="Calibri" w:cs="Calibri"/>
          <w:bCs/>
        </w:rPr>
        <w:t>; l</w:t>
      </w:r>
      <w:r w:rsidRPr="00334391">
        <w:rPr>
          <w:rFonts w:ascii="Calibri" w:hAnsi="Calibri" w:cs="Calibri"/>
          <w:bCs/>
        </w:rPr>
        <w:t xml:space="preserve">ooking at lesser known journals, journals that publish critical or radical approaches, or journals located in the Global South might help to locate decolonial approaches to your topics and work by scholars of colour. </w:t>
      </w:r>
    </w:p>
    <w:p w14:paraId="654F3549" w14:textId="77777777" w:rsidR="000A25C1" w:rsidRPr="00334391" w:rsidRDefault="000A25C1" w:rsidP="00DB16C5">
      <w:pPr>
        <w:spacing w:after="120"/>
        <w:ind w:left="567"/>
        <w:jc w:val="both"/>
        <w:rPr>
          <w:rFonts w:ascii="Calibri" w:hAnsi="Calibri" w:cs="Calibri"/>
          <w:bCs/>
        </w:rPr>
      </w:pPr>
    </w:p>
    <w:p w14:paraId="75BA6084" w14:textId="2BFF9164" w:rsidR="00F67562" w:rsidRPr="00334391" w:rsidRDefault="00F67562"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I want to support the Decolonise the Curriculum agenda, but I do not know where to turn for support</w:t>
      </w:r>
      <w:r w:rsidR="006513DF" w:rsidRPr="00334391">
        <w:rPr>
          <w:rFonts w:ascii="Calibri" w:hAnsi="Calibri" w:cs="Calibri"/>
          <w:b/>
        </w:rPr>
        <w:t>.</w:t>
      </w:r>
    </w:p>
    <w:p w14:paraId="06797755" w14:textId="5F861BFC" w:rsidR="000A25C1" w:rsidRPr="00334391" w:rsidRDefault="001F5751" w:rsidP="00DB16C5">
      <w:pPr>
        <w:spacing w:after="120"/>
        <w:ind w:left="567"/>
        <w:jc w:val="both"/>
        <w:rPr>
          <w:rFonts w:ascii="Calibri" w:hAnsi="Calibri" w:cs="Calibri"/>
          <w:bCs/>
        </w:rPr>
      </w:pPr>
      <w:r w:rsidRPr="00334391">
        <w:rPr>
          <w:rFonts w:ascii="Calibri" w:hAnsi="Calibri" w:cs="Calibri"/>
          <w:bCs/>
        </w:rPr>
        <w:t xml:space="preserve">Do not be afraid to reach out and ask for help. </w:t>
      </w:r>
      <w:r w:rsidR="00C6538A" w:rsidRPr="00334391">
        <w:rPr>
          <w:rFonts w:ascii="Calibri" w:hAnsi="Calibri" w:cs="Calibri"/>
          <w:bCs/>
        </w:rPr>
        <w:t xml:space="preserve">Colleagues within your Department would be a great place to start – some of them have contributed to this very </w:t>
      </w:r>
      <w:r w:rsidRPr="00334391">
        <w:rPr>
          <w:rFonts w:ascii="Calibri" w:hAnsi="Calibri" w:cs="Calibri"/>
          <w:bCs/>
        </w:rPr>
        <w:t>document and</w:t>
      </w:r>
      <w:r w:rsidR="00C6538A" w:rsidRPr="00334391">
        <w:rPr>
          <w:rFonts w:ascii="Calibri" w:hAnsi="Calibri" w:cs="Calibri"/>
          <w:bCs/>
        </w:rPr>
        <w:t xml:space="preserve"> will be happy to guide you to any resource you might need. </w:t>
      </w:r>
      <w:r w:rsidRPr="00334391">
        <w:rPr>
          <w:rFonts w:ascii="Calibri" w:hAnsi="Calibri" w:cs="Calibri"/>
          <w:bCs/>
        </w:rPr>
        <w:t xml:space="preserve">A number of School of Government Committees are involved in this agenda, namely the School ED&amp;I Committee and the School Teaching &amp; Learning Committee (headed by Gerasimos Tsourapas and Mark Wenman, respectively. </w:t>
      </w:r>
      <w:r w:rsidR="00C6538A" w:rsidRPr="00334391">
        <w:rPr>
          <w:rFonts w:ascii="Calibri" w:hAnsi="Calibri" w:cs="Calibri"/>
          <w:bCs/>
        </w:rPr>
        <w:t xml:space="preserve">The </w:t>
      </w:r>
      <w:hyperlink r:id="rId32" w:history="1">
        <w:r w:rsidR="00C6538A" w:rsidRPr="00334391">
          <w:rPr>
            <w:rStyle w:val="Hyperlink"/>
            <w:rFonts w:ascii="Calibri" w:hAnsi="Calibri" w:cs="Calibri"/>
            <w:bCs/>
          </w:rPr>
          <w:t>Higher Education Futures institute</w:t>
        </w:r>
      </w:hyperlink>
      <w:r w:rsidR="00C6538A" w:rsidRPr="00334391">
        <w:rPr>
          <w:rFonts w:ascii="Calibri" w:hAnsi="Calibri" w:cs="Calibri"/>
          <w:bCs/>
        </w:rPr>
        <w:t xml:space="preserve"> (HEFi) for teaching excellence in higher education has a dedicated team </w:t>
      </w:r>
      <w:r w:rsidRPr="00334391">
        <w:rPr>
          <w:rFonts w:ascii="Calibri" w:hAnsi="Calibri" w:cs="Calibri"/>
          <w:bCs/>
        </w:rPr>
        <w:t>is another great resource for all University of Birmingham staff</w:t>
      </w:r>
      <w:r w:rsidR="00C6538A" w:rsidRPr="00334391">
        <w:rPr>
          <w:rFonts w:ascii="Calibri" w:hAnsi="Calibri" w:cs="Calibri"/>
          <w:bCs/>
        </w:rPr>
        <w:t xml:space="preserve">. </w:t>
      </w:r>
    </w:p>
    <w:p w14:paraId="7483A9F8" w14:textId="77777777" w:rsidR="00C6538A" w:rsidRPr="00334391" w:rsidRDefault="00C6538A" w:rsidP="00DB16C5">
      <w:pPr>
        <w:spacing w:after="120"/>
        <w:ind w:left="567"/>
        <w:jc w:val="both"/>
        <w:rPr>
          <w:rFonts w:ascii="Calibri" w:hAnsi="Calibri" w:cs="Calibri"/>
          <w:bCs/>
        </w:rPr>
      </w:pPr>
    </w:p>
    <w:p w14:paraId="3B5AF3FE" w14:textId="2D488587" w:rsidR="00F67562" w:rsidRPr="00334391" w:rsidRDefault="00F67562"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I want to support the Decolonise the Curriculum agenda, but I am not sure my students will be in favour of this.</w:t>
      </w:r>
    </w:p>
    <w:p w14:paraId="523744D6" w14:textId="14974CA2" w:rsidR="009D519D" w:rsidRPr="00334391" w:rsidRDefault="009D519D" w:rsidP="00DB16C5">
      <w:pPr>
        <w:spacing w:after="120"/>
        <w:ind w:left="567"/>
        <w:jc w:val="both"/>
        <w:rPr>
          <w:rFonts w:ascii="Calibri" w:hAnsi="Calibri" w:cs="Calibri"/>
          <w:bCs/>
        </w:rPr>
      </w:pPr>
      <w:r w:rsidRPr="00334391">
        <w:rPr>
          <w:rFonts w:ascii="Calibri" w:hAnsi="Calibri" w:cs="Calibri"/>
          <w:bCs/>
        </w:rPr>
        <w:t>Studies nationally and locally in the School have consistently shown that students of colour want curricula that are more relevant to their lived experiences and histories.</w:t>
      </w:r>
      <w:r w:rsidR="00546A83" w:rsidRPr="00334391">
        <w:rPr>
          <w:rFonts w:ascii="Calibri" w:hAnsi="Calibri" w:cs="Calibri"/>
          <w:bCs/>
        </w:rPr>
        <w:t xml:space="preserve"> This helps those students feel more included in university life, but also has been found to be a key factor in the BAME attainment gap. </w:t>
      </w:r>
      <w:r w:rsidR="001F5751" w:rsidRPr="00334391">
        <w:rPr>
          <w:rFonts w:ascii="Calibri" w:hAnsi="Calibri" w:cs="Calibri"/>
          <w:bCs/>
        </w:rPr>
        <w:t>Beyond this, there is inherent value in challenging conventional wisdom and exposing students to as wide a range of viewpoints as possible during their time in university.</w:t>
      </w:r>
    </w:p>
    <w:p w14:paraId="7E1E3EFB" w14:textId="77777777" w:rsidR="000A25C1" w:rsidRPr="00334391" w:rsidRDefault="000A25C1" w:rsidP="00DB16C5">
      <w:pPr>
        <w:spacing w:after="120"/>
        <w:ind w:left="567"/>
        <w:jc w:val="both"/>
        <w:rPr>
          <w:rFonts w:ascii="Calibri" w:hAnsi="Calibri" w:cs="Calibri"/>
          <w:b/>
        </w:rPr>
      </w:pPr>
    </w:p>
    <w:p w14:paraId="13EC4DDB" w14:textId="699116A2" w:rsidR="00246523" w:rsidRPr="00334391" w:rsidRDefault="00246523" w:rsidP="00DB16C5">
      <w:pPr>
        <w:pStyle w:val="ListParagraph"/>
        <w:numPr>
          <w:ilvl w:val="0"/>
          <w:numId w:val="34"/>
        </w:numPr>
        <w:spacing w:after="120"/>
        <w:ind w:left="567"/>
        <w:jc w:val="both"/>
        <w:rPr>
          <w:rFonts w:ascii="Calibri" w:hAnsi="Calibri" w:cs="Calibri"/>
          <w:b/>
        </w:rPr>
      </w:pPr>
      <w:r w:rsidRPr="00334391">
        <w:rPr>
          <w:rFonts w:ascii="Calibri" w:hAnsi="Calibri" w:cs="Calibri"/>
          <w:b/>
        </w:rPr>
        <w:t xml:space="preserve">I have revised my reading list to include </w:t>
      </w:r>
      <w:r w:rsidR="009D519D" w:rsidRPr="00334391">
        <w:rPr>
          <w:rFonts w:ascii="Calibri" w:hAnsi="Calibri" w:cs="Calibri"/>
          <w:b/>
        </w:rPr>
        <w:t xml:space="preserve">women </w:t>
      </w:r>
      <w:r w:rsidRPr="00334391">
        <w:rPr>
          <w:rFonts w:ascii="Calibri" w:hAnsi="Calibri" w:cs="Calibri"/>
          <w:b/>
        </w:rPr>
        <w:t>and BAME scholars. Is this it?</w:t>
      </w:r>
    </w:p>
    <w:p w14:paraId="69466E93" w14:textId="48ED7FCD" w:rsidR="009D519D" w:rsidRPr="00334391" w:rsidRDefault="009D519D" w:rsidP="00DB16C5">
      <w:pPr>
        <w:spacing w:after="120"/>
        <w:ind w:left="567"/>
        <w:jc w:val="both"/>
        <w:rPr>
          <w:rFonts w:ascii="Calibri" w:hAnsi="Calibri" w:cs="Calibri"/>
          <w:bCs/>
        </w:rPr>
      </w:pPr>
      <w:r w:rsidRPr="00334391">
        <w:rPr>
          <w:rFonts w:ascii="Calibri" w:hAnsi="Calibri" w:cs="Calibri"/>
          <w:bCs/>
        </w:rPr>
        <w:t>It</w:t>
      </w:r>
      <w:r w:rsidR="000A25C1" w:rsidRPr="00334391">
        <w:rPr>
          <w:rFonts w:ascii="Calibri" w:hAnsi="Calibri" w:cs="Calibri"/>
          <w:bCs/>
        </w:rPr>
        <w:t xml:space="preserve"> i</w:t>
      </w:r>
      <w:r w:rsidRPr="00334391">
        <w:rPr>
          <w:rFonts w:ascii="Calibri" w:hAnsi="Calibri" w:cs="Calibri"/>
          <w:bCs/>
        </w:rPr>
        <w:t xml:space="preserve">s great that you have compiled a more diverse reading list! </w:t>
      </w:r>
      <w:r w:rsidR="001F5751" w:rsidRPr="00334391">
        <w:rPr>
          <w:rFonts w:ascii="Calibri" w:hAnsi="Calibri" w:cs="Calibri"/>
          <w:bCs/>
        </w:rPr>
        <w:t>Keep in mind that d</w:t>
      </w:r>
      <w:r w:rsidRPr="00334391">
        <w:rPr>
          <w:rFonts w:ascii="Calibri" w:hAnsi="Calibri" w:cs="Calibri"/>
          <w:bCs/>
        </w:rPr>
        <w:t xml:space="preserve">ecolonising the curriculum is </w:t>
      </w:r>
      <w:r w:rsidR="00546A83" w:rsidRPr="00334391">
        <w:rPr>
          <w:rFonts w:ascii="Calibri" w:hAnsi="Calibri" w:cs="Calibri"/>
          <w:bCs/>
        </w:rPr>
        <w:t xml:space="preserve">not the same as diversifying our reading lists, </w:t>
      </w:r>
      <w:r w:rsidRPr="00334391">
        <w:rPr>
          <w:rFonts w:ascii="Calibri" w:hAnsi="Calibri" w:cs="Calibri"/>
          <w:bCs/>
        </w:rPr>
        <w:t>though,</w:t>
      </w:r>
      <w:r w:rsidR="00546A83" w:rsidRPr="00334391">
        <w:rPr>
          <w:rFonts w:ascii="Calibri" w:hAnsi="Calibri" w:cs="Calibri"/>
          <w:bCs/>
        </w:rPr>
        <w:t xml:space="preserve"> and</w:t>
      </w:r>
      <w:r w:rsidRPr="00334391">
        <w:rPr>
          <w:rFonts w:ascii="Calibri" w:hAnsi="Calibri" w:cs="Calibri"/>
          <w:bCs/>
        </w:rPr>
        <w:t xml:space="preserve"> involving critical engagement with the assumptions and knowledge construction underpinning our topics. Please </w:t>
      </w:r>
      <w:r w:rsidR="00A70BD8">
        <w:rPr>
          <w:rFonts w:ascii="Calibri" w:hAnsi="Calibri" w:cs="Calibri"/>
          <w:bCs/>
        </w:rPr>
        <w:t xml:space="preserve">refer to </w:t>
      </w:r>
      <w:r w:rsidR="001F5751" w:rsidRPr="00334391">
        <w:rPr>
          <w:rFonts w:ascii="Calibri" w:hAnsi="Calibri" w:cs="Calibri"/>
          <w:bCs/>
        </w:rPr>
        <w:t>Section 1</w:t>
      </w:r>
      <w:r w:rsidRPr="00334391">
        <w:rPr>
          <w:rFonts w:ascii="Calibri" w:hAnsi="Calibri" w:cs="Calibri"/>
          <w:bCs/>
        </w:rPr>
        <w:t xml:space="preserve"> for a definition of decolonising the curriculum.</w:t>
      </w:r>
    </w:p>
    <w:p w14:paraId="12F59622" w14:textId="77777777" w:rsidR="000A25C1" w:rsidRPr="00334391" w:rsidRDefault="000A25C1" w:rsidP="00DB16C5">
      <w:pPr>
        <w:spacing w:after="120"/>
        <w:ind w:left="567"/>
        <w:jc w:val="both"/>
        <w:rPr>
          <w:rFonts w:ascii="Calibri" w:hAnsi="Calibri" w:cs="Calibri"/>
          <w:b/>
        </w:rPr>
      </w:pPr>
    </w:p>
    <w:p w14:paraId="38D219EB" w14:textId="7A1F0451" w:rsidR="00246523" w:rsidRPr="00334391" w:rsidRDefault="000E04D6" w:rsidP="00DB16C5">
      <w:pPr>
        <w:pStyle w:val="ListParagraph"/>
        <w:numPr>
          <w:ilvl w:val="0"/>
          <w:numId w:val="34"/>
        </w:numPr>
        <w:spacing w:after="120"/>
        <w:ind w:left="567"/>
        <w:jc w:val="both"/>
        <w:rPr>
          <w:rFonts w:ascii="Calibri" w:hAnsi="Calibri" w:cs="Calibri"/>
          <w:b/>
          <w:color w:val="000000" w:themeColor="text1"/>
        </w:rPr>
      </w:pPr>
      <w:r w:rsidRPr="00334391">
        <w:rPr>
          <w:rFonts w:ascii="Calibri" w:hAnsi="Calibri" w:cs="Calibri"/>
          <w:b/>
        </w:rPr>
        <w:t>When can I say that I have sufficiently “decolonised” my modules?</w:t>
      </w:r>
    </w:p>
    <w:p w14:paraId="72A0C948" w14:textId="785D7711" w:rsidR="001F5751" w:rsidRPr="00334391" w:rsidRDefault="00A43D68" w:rsidP="00DB16C5">
      <w:pPr>
        <w:spacing w:after="120"/>
        <w:ind w:left="567"/>
        <w:jc w:val="both"/>
        <w:rPr>
          <w:b/>
          <w:bCs/>
          <w:color w:val="000000" w:themeColor="text1"/>
        </w:rPr>
      </w:pPr>
      <w:r w:rsidRPr="00334391">
        <w:rPr>
          <w:rFonts w:cs="Calibri"/>
          <w:bCs/>
          <w:color w:val="000000" w:themeColor="text1"/>
        </w:rPr>
        <w:t xml:space="preserve">Decolonising the curriculum is not something that can ever be completed. Rather, we might think of it as </w:t>
      </w:r>
      <w:r w:rsidR="004C33EC" w:rsidRPr="00334391">
        <w:rPr>
          <w:rFonts w:cs="Calibri"/>
          <w:bCs/>
          <w:color w:val="000000" w:themeColor="text1"/>
        </w:rPr>
        <w:t>a ‘</w:t>
      </w:r>
      <w:r w:rsidR="004C33EC" w:rsidRPr="00334391">
        <w:rPr>
          <w:color w:val="000000" w:themeColor="text1"/>
          <w:shd w:val="clear" w:color="auto" w:fill="FFFFFF"/>
        </w:rPr>
        <w:t>dynamic and reflexive process’ of critically examining our curricula and our teaching methods (</w:t>
      </w:r>
      <w:hyperlink r:id="rId33" w:history="1">
        <w:r w:rsidR="004C33EC" w:rsidRPr="00334391">
          <w:rPr>
            <w:rStyle w:val="Hyperlink"/>
            <w:color w:val="000000" w:themeColor="text1"/>
            <w:shd w:val="clear" w:color="auto" w:fill="FFFFFF"/>
          </w:rPr>
          <w:t>this piece</w:t>
        </w:r>
      </w:hyperlink>
      <w:r w:rsidR="001F5751" w:rsidRPr="00334391">
        <w:rPr>
          <w:color w:val="000000" w:themeColor="text1"/>
          <w:shd w:val="clear" w:color="auto" w:fill="FFFFFF"/>
        </w:rPr>
        <w:t xml:space="preserve"> might be helpful).</w:t>
      </w:r>
    </w:p>
    <w:p w14:paraId="0AA11C29" w14:textId="2D1737D4" w:rsidR="001F5751" w:rsidRDefault="001F5751" w:rsidP="004462D8">
      <w:pPr>
        <w:rPr>
          <w:rFonts w:asciiTheme="majorHAnsi" w:eastAsiaTheme="majorEastAsia" w:hAnsiTheme="majorHAnsi" w:cstheme="majorBidi"/>
          <w:b/>
          <w:bCs/>
          <w:color w:val="2F5496" w:themeColor="accent1" w:themeShade="BF"/>
          <w:sz w:val="30"/>
          <w:szCs w:val="30"/>
        </w:rPr>
      </w:pPr>
    </w:p>
    <w:p w14:paraId="34A3E99C" w14:textId="4D2C67BD" w:rsidR="00933EA1" w:rsidRPr="00AB46B0" w:rsidRDefault="00E85D72" w:rsidP="00864090">
      <w:pPr>
        <w:pStyle w:val="Heading2"/>
        <w:spacing w:after="120"/>
        <w:ind w:left="567"/>
        <w:rPr>
          <w:b/>
          <w:bCs/>
          <w:sz w:val="30"/>
          <w:szCs w:val="30"/>
        </w:rPr>
      </w:pPr>
      <w:bookmarkStart w:id="14" w:name="_Toc49932069"/>
      <w:bookmarkStart w:id="15" w:name="_Toc50019543"/>
      <w:r>
        <w:rPr>
          <w:b/>
          <w:bCs/>
          <w:color w:val="588392"/>
          <w:sz w:val="30"/>
          <w:szCs w:val="30"/>
        </w:rPr>
        <w:t>Student views on Decolonising the Curriculum</w:t>
      </w:r>
      <w:bookmarkEnd w:id="14"/>
      <w:bookmarkEnd w:id="15"/>
    </w:p>
    <w:p w14:paraId="0706D17B" w14:textId="00025E8D" w:rsidR="00933EA1" w:rsidRDefault="00933EA1" w:rsidP="00DB16C5">
      <w:pPr>
        <w:spacing w:after="120"/>
        <w:ind w:left="567"/>
        <w:jc w:val="both"/>
        <w:rPr>
          <w:rFonts w:ascii="Calibri" w:hAnsi="Calibri" w:cs="Calibri"/>
          <w:bCs/>
          <w:sz w:val="23"/>
          <w:szCs w:val="23"/>
        </w:rPr>
      </w:pPr>
    </w:p>
    <w:p w14:paraId="5C48B7F0" w14:textId="5171F40F" w:rsidR="00933EA1" w:rsidRPr="00AB46B0" w:rsidRDefault="00933EA1" w:rsidP="00E85D72">
      <w:pPr>
        <w:spacing w:after="120"/>
        <w:ind w:left="567" w:right="333"/>
        <w:jc w:val="both"/>
        <w:rPr>
          <w:rFonts w:ascii="Calibri" w:hAnsi="Calibri" w:cs="Calibri"/>
          <w:sz w:val="23"/>
          <w:szCs w:val="23"/>
        </w:rPr>
      </w:pPr>
      <w:r w:rsidRPr="00AB46B0">
        <w:rPr>
          <w:rFonts w:ascii="Calibri" w:hAnsi="Calibri" w:cs="Calibri"/>
          <w:sz w:val="23"/>
          <w:szCs w:val="23"/>
        </w:rPr>
        <w:t xml:space="preserve">In February 2019, </w:t>
      </w:r>
      <w:r w:rsidR="00F47A81">
        <w:rPr>
          <w:rFonts w:ascii="Calibri" w:hAnsi="Calibri" w:cs="Calibri"/>
          <w:sz w:val="23"/>
          <w:szCs w:val="23"/>
        </w:rPr>
        <w:t xml:space="preserve">the POLSIS </w:t>
      </w:r>
      <w:r w:rsidRPr="00AB46B0">
        <w:rPr>
          <w:rFonts w:ascii="Calibri" w:hAnsi="Calibri" w:cs="Calibri"/>
          <w:sz w:val="23"/>
          <w:szCs w:val="23"/>
        </w:rPr>
        <w:t>UG T</w:t>
      </w:r>
      <w:r w:rsidR="00F47A81">
        <w:rPr>
          <w:rFonts w:ascii="Calibri" w:hAnsi="Calibri" w:cs="Calibri"/>
          <w:sz w:val="23"/>
          <w:szCs w:val="23"/>
        </w:rPr>
        <w:t xml:space="preserve">eaching and </w:t>
      </w:r>
      <w:r w:rsidRPr="00AB46B0">
        <w:rPr>
          <w:rFonts w:ascii="Calibri" w:hAnsi="Calibri" w:cs="Calibri"/>
          <w:sz w:val="23"/>
          <w:szCs w:val="23"/>
        </w:rPr>
        <w:t>L</w:t>
      </w:r>
      <w:r w:rsidR="00F47A81">
        <w:rPr>
          <w:rFonts w:ascii="Calibri" w:hAnsi="Calibri" w:cs="Calibri"/>
          <w:sz w:val="23"/>
          <w:szCs w:val="23"/>
        </w:rPr>
        <w:t>earning</w:t>
      </w:r>
      <w:r w:rsidRPr="00AB46B0">
        <w:rPr>
          <w:rFonts w:ascii="Calibri" w:hAnsi="Calibri" w:cs="Calibri"/>
          <w:sz w:val="23"/>
          <w:szCs w:val="23"/>
        </w:rPr>
        <w:t xml:space="preserve"> Director and School E&amp;D Lead (with support from the Student Engagement Officer and Student Projects Lead) ran three one-hour focus groups with ten BAME UG students from POLSIS. Three additional BAME students completed written responses to questions. The written responses were coded as WR1, WR2 and WR3. Students were given a number in each focus group (i.e. S2F3).</w:t>
      </w:r>
    </w:p>
    <w:p w14:paraId="6CC54A60" w14:textId="77777777" w:rsidR="00933EA1" w:rsidRPr="00AB46B0" w:rsidRDefault="00933EA1" w:rsidP="00E85D72">
      <w:pPr>
        <w:spacing w:after="120"/>
        <w:ind w:left="567" w:right="333"/>
        <w:jc w:val="both"/>
        <w:rPr>
          <w:rFonts w:cstheme="minorHAnsi"/>
          <w:color w:val="000000"/>
          <w:sz w:val="23"/>
          <w:szCs w:val="23"/>
        </w:rPr>
      </w:pPr>
      <w:r w:rsidRPr="00AB46B0">
        <w:rPr>
          <w:rFonts w:cstheme="minorHAnsi"/>
          <w:color w:val="000000"/>
          <w:sz w:val="23"/>
          <w:szCs w:val="23"/>
        </w:rPr>
        <w:t xml:space="preserve">During the focus groups, the most popular theme of discussion was undoubtedly the content of programmes within POLSIS. BAME students felt strongly that there were many omissions in the curriculum and argued in favour of diversifying, deepening and broadening topics and scholarship. When asked what areas should be explored on their programmes, students often suggested that there should be more emphasis on race and racism, race and political economy, queer theory, critical race theory perspectives, colonialism and decolonisation, black feminism, migration, the exclusion of marginalised perspectives within academic scholarship, and the study of states in the Global South. </w:t>
      </w:r>
    </w:p>
    <w:p w14:paraId="67C33D0F" w14:textId="4C6C9057" w:rsidR="00933EA1" w:rsidRPr="00AB46B0" w:rsidRDefault="00F47A8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Pr>
          <w:rFonts w:asciiTheme="minorHAnsi" w:hAnsiTheme="minorHAnsi" w:cstheme="minorHAnsi"/>
          <w:sz w:val="23"/>
          <w:szCs w:val="23"/>
          <w:lang w:val="en-GB"/>
        </w:rPr>
        <w:t>“</w:t>
      </w:r>
      <w:r w:rsidR="00933EA1" w:rsidRPr="00AB46B0">
        <w:rPr>
          <w:rFonts w:asciiTheme="minorHAnsi" w:hAnsiTheme="minorHAnsi" w:cstheme="minorHAnsi"/>
          <w:sz w:val="23"/>
          <w:szCs w:val="23"/>
          <w:lang w:val="en-GB"/>
        </w:rPr>
        <w:t>I think there needs to be way more done on like Race and Political Economy. There’s nothing… But there is, there’s a lot of work on this.  I don’t know where specifically, but I know there is work out there… it’s very general … capitalism and class and global crisis, and things like that.  Like it’s not unimportant, but it’s not, like, digging in deep… I feel like if it (i.e. race) is not treated as an important aspect of the module, which I believe it should be, I kind of back away… when I was in Finland and Helsinki, they had a lot of interesting courses on Postcolonialism and Colonialism, and Black Feminist Thought, and Migration, and the History and Migration… I had no idea about the historical depth and like all the scholars such as Frantz Fanon and Bell Hooks. I knew of Bell Hooks but I got a chance to go into more depth and I was, like, “wow! their contributions are so important”… It’s just a bit disappointing when it’s not really a priority when it is really important as they have made huge contributions to scholarship in general... when I came back from Finland I really wanted to be like in a book club, I wanted to start something for black people, specifically for POLSIS students, and read…  specific books by like black authors, black feminists.  I was put off that I don’t know enough people to do that, even though I really wanted to do it.</w:t>
      </w:r>
      <w:r>
        <w:rPr>
          <w:rFonts w:asciiTheme="minorHAnsi" w:hAnsiTheme="minorHAnsi" w:cstheme="minorHAnsi"/>
          <w:sz w:val="23"/>
          <w:szCs w:val="23"/>
          <w:lang w:val="en-GB"/>
        </w:rPr>
        <w:t>”</w:t>
      </w:r>
      <w:r w:rsidR="00933EA1" w:rsidRPr="00AB46B0">
        <w:rPr>
          <w:rFonts w:asciiTheme="minorHAnsi" w:hAnsiTheme="minorHAnsi" w:cstheme="minorHAnsi"/>
          <w:sz w:val="23"/>
          <w:szCs w:val="23"/>
          <w:lang w:val="en-GB"/>
        </w:rPr>
        <w:t xml:space="preserve">   (S2F1).</w:t>
      </w:r>
    </w:p>
    <w:p w14:paraId="480A4FC6"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I didn’t see anything (on the module fair) about Africa.  Africa is such a big continent I would have expected to see something including that bit of the world.  I would gladly take a module, which was about decolonisation, our history (S1F3).</w:t>
      </w:r>
    </w:p>
    <w:p w14:paraId="4EA34B47"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color w:val="000000" w:themeColor="text1"/>
          <w:sz w:val="23"/>
          <w:szCs w:val="23"/>
          <w:lang w:val="en-GB"/>
        </w:rPr>
        <w:t>There could definitely be more inclusion of Queer Theory and other Critical Race Theory perspectives. Also, other authors on the reading lists as I tend to source them myself but realise that they could have been really good for the initial teaching…when looking at Power and Structure vs Agency for example, race and racism should be involved… Political Economy and Classical Political Thought could even address exclusions. (WR3)</w:t>
      </w:r>
      <w:r w:rsidRPr="00AB46B0">
        <w:rPr>
          <w:rFonts w:asciiTheme="minorHAnsi" w:hAnsiTheme="minorHAnsi" w:cstheme="minorHAnsi"/>
          <w:b/>
          <w:color w:val="000000" w:themeColor="text1"/>
          <w:sz w:val="23"/>
          <w:szCs w:val="23"/>
          <w:lang w:val="en-GB"/>
        </w:rPr>
        <w:t xml:space="preserve"> </w:t>
      </w:r>
    </w:p>
    <w:p w14:paraId="698BAF4B"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In Political Economy, there was no discussion, not necessarily of race even, but feminist Political Economy. I learnt about that on the outside. I feel like to understand, yeah, to bring those in, would be so important in terms of diversifying curriculum, and for people to have a greater understanding of how academia, in general, is like this long conversation. That different voices have to be involved, and to show that the university is incorporating those voices (S3F1).</w:t>
      </w:r>
    </w:p>
    <w:p w14:paraId="18B7A189"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What they teach focuses on a European ideal of the world…  We did decolonisation for one lecture and then next week it’s going to go back to the Cold War. We’ve had five weeks of learning about Europe and Britain and France and there has been mention by professors of other countries but I feel like it could be given more attention.. If you can dedicate a whole module on Brexit you can dedicate something on to the study of Latin America. (S2F3)</w:t>
      </w:r>
    </w:p>
    <w:p w14:paraId="57BCB6AC"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I can say I probably only know two, through university learning, only two noted scholars of colour, Frantz Fanon, and a woman, she wrote this really good poem but I can’t remember her name… They’re all old white men from days gone by and I would have thought that people discovered more scholars who aren’t necessarily from the occidental world by now… You really do notice the difference in people’s work when they are from different parts of the world, it’s incredible (S1F3)</w:t>
      </w:r>
    </w:p>
    <w:p w14:paraId="334209A3" w14:textId="77777777" w:rsidR="00933EA1" w:rsidRPr="00AB46B0" w:rsidRDefault="00933EA1" w:rsidP="00F47A81">
      <w:pPr>
        <w:pStyle w:val="NormalWeb"/>
        <w:numPr>
          <w:ilvl w:val="0"/>
          <w:numId w:val="18"/>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There needs to be more diversity in modules. I do straight IR and there’s like one East Asia module, there was one on the Middle East, but other than that, it’s so European and Western centric (S4F2).</w:t>
      </w:r>
    </w:p>
    <w:p w14:paraId="07787894" w14:textId="77777777" w:rsidR="00933EA1" w:rsidRPr="00AB46B0" w:rsidRDefault="00933EA1" w:rsidP="00E85D72">
      <w:pPr>
        <w:pStyle w:val="NormalWeb"/>
        <w:spacing w:before="0" w:beforeAutospacing="0" w:after="120" w:afterAutospacing="0"/>
        <w:ind w:left="567" w:right="333"/>
        <w:jc w:val="both"/>
        <w:rPr>
          <w:rFonts w:asciiTheme="minorHAnsi" w:hAnsiTheme="minorHAnsi" w:cstheme="minorHAnsi"/>
          <w:sz w:val="23"/>
          <w:szCs w:val="23"/>
          <w:lang w:val="en-GB"/>
        </w:rPr>
      </w:pPr>
    </w:p>
    <w:p w14:paraId="33B66862" w14:textId="77777777" w:rsidR="00933EA1" w:rsidRPr="00AB46B0" w:rsidRDefault="00933EA1" w:rsidP="00E85D72">
      <w:pPr>
        <w:spacing w:after="120"/>
        <w:ind w:left="567" w:right="333"/>
        <w:jc w:val="both"/>
        <w:rPr>
          <w:sz w:val="23"/>
          <w:szCs w:val="23"/>
        </w:rPr>
      </w:pPr>
      <w:r w:rsidRPr="00AB46B0">
        <w:rPr>
          <w:rFonts w:cstheme="minorHAnsi"/>
          <w:color w:val="000000"/>
          <w:sz w:val="23"/>
          <w:szCs w:val="23"/>
        </w:rPr>
        <w:t xml:space="preserve">Furthermore, BAME students believed that these omissions on their programme was connected to the lack of diversity among staff. </w:t>
      </w:r>
    </w:p>
    <w:p w14:paraId="77CF4E4A" w14:textId="77777777" w:rsidR="00933EA1" w:rsidRPr="00AB46B0" w:rsidRDefault="00933EA1" w:rsidP="00F47A81">
      <w:pPr>
        <w:pStyle w:val="NormalWeb"/>
        <w:numPr>
          <w:ilvl w:val="0"/>
          <w:numId w:val="19"/>
        </w:numPr>
        <w:spacing w:before="0" w:beforeAutospacing="0" w:after="120" w:afterAutospacing="0"/>
        <w:ind w:left="1134" w:right="333"/>
        <w:jc w:val="both"/>
        <w:rPr>
          <w:rFonts w:asciiTheme="minorHAnsi" w:hAnsiTheme="minorHAnsi" w:cstheme="minorHAnsi"/>
          <w:color w:val="000000"/>
          <w:sz w:val="23"/>
          <w:szCs w:val="23"/>
          <w:lang w:val="en-GB"/>
        </w:rPr>
      </w:pPr>
      <w:r w:rsidRPr="00AB46B0">
        <w:rPr>
          <w:rFonts w:asciiTheme="minorHAnsi" w:hAnsiTheme="minorHAnsi" w:cstheme="minorHAnsi"/>
          <w:color w:val="000000"/>
          <w:sz w:val="23"/>
          <w:szCs w:val="23"/>
          <w:lang w:val="en-GB"/>
        </w:rPr>
        <w:t>I would categorise the majority of the teaching within my programme as ‘racialised’, centred, as it is, on the thoughts/teachings of a whole host of dead, white men… Much like the faculty, it (i.e. the programme) is too white and too male… There are so many gaps. But you know this already. Call me cynical but, at this point, I have to believe that it is by design, not by accident (WR2)</w:t>
      </w:r>
    </w:p>
    <w:p w14:paraId="66FB7327" w14:textId="77777777" w:rsidR="00933EA1" w:rsidRPr="00AB46B0" w:rsidRDefault="00933EA1" w:rsidP="00F47A81">
      <w:pPr>
        <w:pStyle w:val="NormalWeb"/>
        <w:numPr>
          <w:ilvl w:val="0"/>
          <w:numId w:val="19"/>
        </w:numPr>
        <w:spacing w:before="0" w:beforeAutospacing="0" w:after="120" w:afterAutospacing="0"/>
        <w:ind w:left="1134" w:right="333"/>
        <w:jc w:val="both"/>
        <w:rPr>
          <w:rFonts w:asciiTheme="minorHAnsi" w:hAnsiTheme="minorHAnsi" w:cstheme="minorHAnsi"/>
          <w:color w:val="000000"/>
          <w:sz w:val="23"/>
          <w:szCs w:val="23"/>
          <w:lang w:val="en-GB"/>
        </w:rPr>
      </w:pPr>
      <w:r w:rsidRPr="00AB46B0">
        <w:rPr>
          <w:rFonts w:asciiTheme="minorHAnsi" w:hAnsiTheme="minorHAnsi" w:cstheme="minorHAnsi"/>
          <w:sz w:val="23"/>
          <w:szCs w:val="23"/>
          <w:lang w:val="en-GB"/>
        </w:rPr>
        <w:t xml:space="preserve">I think that what reinforces that and I’ve got nothing against them but it feel like that every single one of our professors is </w:t>
      </w:r>
      <w:r w:rsidRPr="00AB46B0">
        <w:rPr>
          <w:rFonts w:asciiTheme="minorHAnsi" w:hAnsiTheme="minorHAnsi" w:cstheme="minorHAnsi"/>
          <w:bCs/>
          <w:color w:val="222222"/>
          <w:sz w:val="23"/>
          <w:szCs w:val="23"/>
          <w:shd w:val="clear" w:color="auto" w:fill="FFFFFF"/>
          <w:lang w:val="en-GB"/>
        </w:rPr>
        <w:t>Caucasian</w:t>
      </w:r>
      <w:r w:rsidRPr="00AB46B0">
        <w:rPr>
          <w:rFonts w:asciiTheme="minorHAnsi" w:hAnsiTheme="minorHAnsi" w:cstheme="minorHAnsi"/>
          <w:color w:val="222222"/>
          <w:sz w:val="23"/>
          <w:szCs w:val="23"/>
          <w:shd w:val="clear" w:color="auto" w:fill="FFFFFF"/>
          <w:lang w:val="en-GB"/>
        </w:rPr>
        <w:t> </w:t>
      </w:r>
      <w:r w:rsidRPr="00AB46B0">
        <w:rPr>
          <w:rFonts w:asciiTheme="minorHAnsi" w:hAnsiTheme="minorHAnsi" w:cstheme="minorHAnsi"/>
          <w:sz w:val="23"/>
          <w:szCs w:val="23"/>
          <w:lang w:val="en-GB"/>
        </w:rPr>
        <w:t>and a male.  (S2F3)</w:t>
      </w:r>
    </w:p>
    <w:p w14:paraId="577D8C30" w14:textId="77777777" w:rsidR="00933EA1" w:rsidRPr="00AB46B0" w:rsidRDefault="00933EA1" w:rsidP="00F47A81">
      <w:pPr>
        <w:pStyle w:val="NormalWeb"/>
        <w:numPr>
          <w:ilvl w:val="0"/>
          <w:numId w:val="19"/>
        </w:numPr>
        <w:spacing w:before="0" w:beforeAutospacing="0" w:after="120" w:afterAutospacing="0"/>
        <w:ind w:left="1134" w:right="333"/>
        <w:jc w:val="both"/>
        <w:rPr>
          <w:rFonts w:asciiTheme="minorHAnsi" w:hAnsiTheme="minorHAnsi" w:cstheme="minorHAnsi"/>
          <w:color w:val="000000"/>
          <w:sz w:val="23"/>
          <w:szCs w:val="23"/>
          <w:lang w:val="en-GB"/>
        </w:rPr>
      </w:pPr>
      <w:r w:rsidRPr="00AB46B0">
        <w:rPr>
          <w:rFonts w:asciiTheme="minorHAnsi" w:hAnsiTheme="minorHAnsi" w:cstheme="minorHAnsi"/>
          <w:sz w:val="23"/>
          <w:szCs w:val="23"/>
          <w:lang w:val="en-GB"/>
        </w:rPr>
        <w:t>There is definitely a lack of representation which is confusing especially as we are on a government and society course.  You think it would be more representative, especially for me? I do international relations… and I’ve had lecturers from Italy, Lebanon, Belgium, Argentina, but I’ve never had a professor of colour which is slightly worrying to me.  I think you’re clearly not struggling to recruit people from all around the world but why has this quota not been met? (S1F3).</w:t>
      </w:r>
    </w:p>
    <w:p w14:paraId="0677F24B" w14:textId="77777777" w:rsidR="00933EA1" w:rsidRPr="00AB46B0" w:rsidRDefault="00933EA1" w:rsidP="00F47A81">
      <w:pPr>
        <w:pStyle w:val="NormalWeb"/>
        <w:numPr>
          <w:ilvl w:val="0"/>
          <w:numId w:val="19"/>
        </w:numPr>
        <w:spacing w:before="0" w:beforeAutospacing="0" w:after="120" w:afterAutospacing="0"/>
        <w:ind w:left="1134" w:right="333"/>
        <w:jc w:val="both"/>
        <w:rPr>
          <w:rFonts w:asciiTheme="minorHAnsi" w:hAnsiTheme="minorHAnsi" w:cstheme="minorHAnsi"/>
          <w:color w:val="000000"/>
          <w:sz w:val="23"/>
          <w:szCs w:val="23"/>
          <w:lang w:val="en-GB"/>
        </w:rPr>
      </w:pPr>
      <w:r w:rsidRPr="00AB46B0">
        <w:rPr>
          <w:rFonts w:asciiTheme="minorHAnsi" w:hAnsiTheme="minorHAnsi" w:cstheme="minorHAnsi"/>
          <w:sz w:val="23"/>
          <w:szCs w:val="23"/>
          <w:lang w:val="en-GB"/>
        </w:rPr>
        <w:t>Maybe try to bring in lecturers and seminar tutors that are of an ethnic minority background, cause I’ve never had a tutor that wasn’t. Like never, even in my race modules, and I was pretty shocked by that (S1F2).</w:t>
      </w:r>
    </w:p>
    <w:p w14:paraId="4296ED74" w14:textId="77777777" w:rsidR="00933EA1" w:rsidRPr="00AB46B0" w:rsidRDefault="00933EA1" w:rsidP="00F47A81">
      <w:pPr>
        <w:pStyle w:val="NormalWeb"/>
        <w:numPr>
          <w:ilvl w:val="0"/>
          <w:numId w:val="19"/>
        </w:numPr>
        <w:spacing w:before="0" w:beforeAutospacing="0" w:after="120" w:afterAutospacing="0"/>
        <w:ind w:left="1134" w:right="333"/>
        <w:jc w:val="both"/>
        <w:rPr>
          <w:rFonts w:asciiTheme="minorHAnsi" w:hAnsiTheme="minorHAnsi" w:cstheme="minorHAnsi"/>
          <w:color w:val="000000"/>
          <w:sz w:val="23"/>
          <w:szCs w:val="23"/>
          <w:lang w:val="en-GB"/>
        </w:rPr>
      </w:pPr>
      <w:r w:rsidRPr="00AB46B0">
        <w:rPr>
          <w:rFonts w:asciiTheme="minorHAnsi" w:hAnsiTheme="minorHAnsi" w:cstheme="minorHAnsi"/>
          <w:sz w:val="23"/>
          <w:szCs w:val="23"/>
          <w:lang w:val="en-GB"/>
        </w:rPr>
        <w:t>Then the seminar tutors, the lecturers... Firstly they’re all male, there’s no diversity to it. Even in the subjects I chose, which are like, more other countries, there wasn’t any diversity there either. It (i.e the programme) represents the university, especially the wealth background (S4F2).</w:t>
      </w:r>
    </w:p>
    <w:p w14:paraId="33205C8C" w14:textId="1C3BAEA3" w:rsidR="00933EA1" w:rsidRPr="00AB46B0" w:rsidRDefault="00933EA1" w:rsidP="00E85D72">
      <w:pPr>
        <w:ind w:right="333"/>
        <w:rPr>
          <w:rFonts w:cstheme="minorHAnsi"/>
          <w:color w:val="000000"/>
          <w:sz w:val="23"/>
          <w:szCs w:val="23"/>
        </w:rPr>
      </w:pPr>
    </w:p>
    <w:p w14:paraId="7B8B45CA" w14:textId="77777777" w:rsidR="00933EA1" w:rsidRPr="00AB46B0" w:rsidRDefault="00933EA1" w:rsidP="00E85D72">
      <w:pPr>
        <w:spacing w:after="120"/>
        <w:ind w:left="567" w:right="333"/>
        <w:jc w:val="both"/>
        <w:rPr>
          <w:rFonts w:cstheme="minorHAnsi"/>
          <w:color w:val="000000"/>
          <w:sz w:val="23"/>
          <w:szCs w:val="23"/>
        </w:rPr>
      </w:pPr>
      <w:r w:rsidRPr="00AB46B0">
        <w:rPr>
          <w:rFonts w:cstheme="minorHAnsi"/>
          <w:color w:val="000000"/>
          <w:sz w:val="23"/>
          <w:szCs w:val="23"/>
        </w:rPr>
        <w:t xml:space="preserve">When content on race was added, students felt it had a tokenistic quality, or was examined at the end of the module and felt unimportant or an afterthought. </w:t>
      </w:r>
    </w:p>
    <w:p w14:paraId="29015BE8" w14:textId="77777777" w:rsidR="00933EA1" w:rsidRPr="00AB46B0" w:rsidRDefault="00933EA1" w:rsidP="00F47A81">
      <w:pPr>
        <w:pStyle w:val="NormalWeb"/>
        <w:numPr>
          <w:ilvl w:val="0"/>
          <w:numId w:val="20"/>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It seems like they’re not too fussed. Like, even in the lecture I just came from, he said “Oh next year I’m thinking of adding a colonial aspect” and I thought “Why couldn’t you just say a few lines now, why is it next year, or will it be next year?” He said, “Maybe I can fit something in week eleven”. Like just say something now, I know you have something to offer! It’s always “We’ll improve by doing this at some point"... adding more than one line, because no one remembers that one line. No one will think “Ooh, that one line is important for my essay”. Again, that one line seems like it’s not that important (S2F2)</w:t>
      </w:r>
    </w:p>
    <w:p w14:paraId="342FA122" w14:textId="77777777" w:rsidR="00933EA1" w:rsidRPr="00AB46B0" w:rsidRDefault="00933EA1" w:rsidP="00F47A81">
      <w:pPr>
        <w:pStyle w:val="NormalWeb"/>
        <w:numPr>
          <w:ilvl w:val="0"/>
          <w:numId w:val="20"/>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When they just add race, it’s just a little subsection, “Yay! We’ve done it, well done to us!” … When you are doing an essay or something, you have to go out of your way to look for these resources. Where is the help in doing that? (S1F2).</w:t>
      </w:r>
    </w:p>
    <w:p w14:paraId="5B322EB5" w14:textId="77777777" w:rsidR="00933EA1" w:rsidRPr="00AB46B0" w:rsidRDefault="00933EA1" w:rsidP="00E85D72">
      <w:pPr>
        <w:pStyle w:val="NormalWeb"/>
        <w:spacing w:before="0" w:beforeAutospacing="0" w:after="120" w:afterAutospacing="0"/>
        <w:ind w:left="567" w:right="333"/>
        <w:jc w:val="both"/>
        <w:rPr>
          <w:rFonts w:asciiTheme="minorHAnsi" w:hAnsiTheme="minorHAnsi" w:cstheme="minorHAnsi"/>
          <w:sz w:val="23"/>
          <w:szCs w:val="23"/>
          <w:lang w:val="en-GB"/>
        </w:rPr>
      </w:pPr>
    </w:p>
    <w:p w14:paraId="2F36B4C4" w14:textId="77777777" w:rsidR="00933EA1" w:rsidRPr="00AB46B0" w:rsidRDefault="00933EA1" w:rsidP="00F47A81">
      <w:pPr>
        <w:pStyle w:val="NormalWeb"/>
        <w:spacing w:before="0" w:beforeAutospacing="0" w:after="120" w:afterAutospacing="0"/>
        <w:ind w:left="567" w:right="333"/>
        <w:jc w:val="both"/>
        <w:rPr>
          <w:rFonts w:asciiTheme="minorHAnsi" w:hAnsiTheme="minorHAnsi" w:cstheme="minorHAnsi"/>
          <w:sz w:val="23"/>
          <w:szCs w:val="23"/>
          <w:lang w:val="en-GB"/>
        </w:rPr>
      </w:pPr>
      <w:r w:rsidRPr="00AB46B0">
        <w:rPr>
          <w:rFonts w:asciiTheme="minorHAnsi" w:hAnsiTheme="minorHAnsi" w:cstheme="minorHAnsi"/>
          <w:color w:val="000000"/>
          <w:sz w:val="23"/>
          <w:szCs w:val="23"/>
          <w:lang w:val="en-GB"/>
        </w:rPr>
        <w:t>BAME students claimed that omissions and exclusions were a major issue in core modules at year 1. However, some students commented that things improved as they moved through their degree and there were more specialised options during year 2 and the final year.</w:t>
      </w:r>
    </w:p>
    <w:p w14:paraId="60C182F7" w14:textId="77777777" w:rsidR="00933EA1" w:rsidRPr="00AB46B0" w:rsidRDefault="00933EA1" w:rsidP="00F47A81">
      <w:pPr>
        <w:pStyle w:val="NormalWeb"/>
        <w:numPr>
          <w:ilvl w:val="0"/>
          <w:numId w:val="21"/>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If you want to get a more diverse education, then it is possible through certain module selection although there is absolutely work to be done on this (WR1).</w:t>
      </w:r>
    </w:p>
    <w:p w14:paraId="7ACA2DAC" w14:textId="77777777" w:rsidR="00933EA1" w:rsidRPr="00AB46B0" w:rsidRDefault="00933EA1" w:rsidP="00F47A81">
      <w:pPr>
        <w:pStyle w:val="NormalWeb"/>
        <w:numPr>
          <w:ilvl w:val="0"/>
          <w:numId w:val="21"/>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 xml:space="preserve">My favourite module is </w:t>
      </w:r>
      <w:r w:rsidRPr="00AB46B0">
        <w:rPr>
          <w:rFonts w:asciiTheme="minorHAnsi" w:hAnsiTheme="minorHAnsi" w:cstheme="minorHAnsi"/>
          <w:i/>
          <w:sz w:val="23"/>
          <w:szCs w:val="23"/>
          <w:lang w:val="en-GB"/>
        </w:rPr>
        <w:t>Middle Eastern Politics</w:t>
      </w:r>
      <w:r w:rsidRPr="00AB46B0">
        <w:rPr>
          <w:rFonts w:asciiTheme="minorHAnsi" w:hAnsiTheme="minorHAnsi" w:cstheme="minorHAnsi"/>
          <w:sz w:val="23"/>
          <w:szCs w:val="23"/>
          <w:lang w:val="en-GB"/>
        </w:rPr>
        <w:t xml:space="preserve"> and I’ve been looking towards my final year modules and it goes further into that but again there is a massive gap in the learning syllabus.  There is nothing about African history or West Indian History.  It’s great that we learn about middle eastern politics because it’s very current, it’s very interesting to a lot of people, but there’s a whole part of the world that’s been completely missed out which means people don’t get to explore that. There are definitely big gaps in the syllabus, which is worrying (S1F3).</w:t>
      </w:r>
    </w:p>
    <w:p w14:paraId="3947078F" w14:textId="77777777" w:rsidR="00933EA1" w:rsidRPr="00AB46B0" w:rsidRDefault="00933EA1" w:rsidP="00F47A81">
      <w:pPr>
        <w:pStyle w:val="NormalWeb"/>
        <w:numPr>
          <w:ilvl w:val="0"/>
          <w:numId w:val="21"/>
        </w:numPr>
        <w:spacing w:before="0" w:beforeAutospacing="0" w:after="120" w:afterAutospacing="0"/>
        <w:ind w:left="1134" w:right="333"/>
        <w:jc w:val="both"/>
        <w:rPr>
          <w:rFonts w:asciiTheme="minorHAnsi" w:hAnsiTheme="minorHAnsi" w:cstheme="minorHAnsi"/>
          <w:sz w:val="23"/>
          <w:szCs w:val="23"/>
          <w:lang w:val="en-GB"/>
        </w:rPr>
      </w:pPr>
      <w:r w:rsidRPr="00AB46B0">
        <w:rPr>
          <w:rFonts w:asciiTheme="minorHAnsi" w:hAnsiTheme="minorHAnsi" w:cstheme="minorHAnsi"/>
          <w:sz w:val="23"/>
          <w:szCs w:val="23"/>
          <w:lang w:val="en-GB"/>
        </w:rPr>
        <w:t xml:space="preserve">I think it’s better, slightly.  I’m doing modules that are covering it a bit more.  I’m doing </w:t>
      </w:r>
      <w:r w:rsidRPr="00AB46B0">
        <w:rPr>
          <w:rFonts w:asciiTheme="minorHAnsi" w:hAnsiTheme="minorHAnsi" w:cstheme="minorHAnsi"/>
          <w:i/>
          <w:sz w:val="23"/>
          <w:szCs w:val="23"/>
          <w:lang w:val="en-GB"/>
        </w:rPr>
        <w:t>Body Politics</w:t>
      </w:r>
      <w:r w:rsidRPr="00AB46B0">
        <w:rPr>
          <w:rFonts w:asciiTheme="minorHAnsi" w:hAnsiTheme="minorHAnsi" w:cstheme="minorHAnsi"/>
          <w:sz w:val="23"/>
          <w:szCs w:val="23"/>
          <w:lang w:val="en-GB"/>
        </w:rPr>
        <w:t xml:space="preserve"> right now…They stress Postcolonialism and Critical Race Theory as things that you should be thinking about through the whole module and they rein it in like every week (S2F1)</w:t>
      </w:r>
    </w:p>
    <w:p w14:paraId="75F1E770" w14:textId="77777777" w:rsidR="00933EA1" w:rsidRPr="00AB46B0" w:rsidRDefault="00933EA1" w:rsidP="00DB16C5">
      <w:pPr>
        <w:spacing w:after="120"/>
        <w:ind w:left="567"/>
        <w:jc w:val="both"/>
        <w:rPr>
          <w:rFonts w:ascii="Calibri" w:hAnsi="Calibri" w:cs="Calibri"/>
          <w:bCs/>
          <w:sz w:val="23"/>
          <w:szCs w:val="23"/>
        </w:rPr>
      </w:pPr>
    </w:p>
    <w:p w14:paraId="366445BE" w14:textId="77777777" w:rsidR="00864090" w:rsidRDefault="00864090" w:rsidP="00864090">
      <w:pPr>
        <w:rPr>
          <w:b/>
          <w:bCs/>
          <w:sz w:val="30"/>
          <w:szCs w:val="30"/>
        </w:rPr>
        <w:sectPr w:rsidR="00864090" w:rsidSect="00334391">
          <w:headerReference w:type="even" r:id="rId34"/>
          <w:headerReference w:type="default" r:id="rId35"/>
          <w:footerReference w:type="even" r:id="rId36"/>
          <w:footerReference w:type="default" r:id="rId37"/>
          <w:pgSz w:w="12240" w:h="15840"/>
          <w:pgMar w:top="1134" w:right="1134" w:bottom="926" w:left="1134" w:header="720" w:footer="720" w:gutter="0"/>
          <w:cols w:space="720"/>
          <w:noEndnote/>
          <w:docGrid w:linePitch="326"/>
        </w:sectPr>
      </w:pPr>
      <w:bookmarkStart w:id="16" w:name="_Toc49932070"/>
    </w:p>
    <w:p w14:paraId="7AF45568" w14:textId="77777777" w:rsidR="00E85D72" w:rsidRDefault="00A8144E" w:rsidP="00E85D72">
      <w:pPr>
        <w:ind w:left="567"/>
        <w:rPr>
          <w:b/>
          <w:bCs/>
          <w:color w:val="588392"/>
          <w:sz w:val="30"/>
          <w:szCs w:val="30"/>
        </w:rPr>
      </w:pPr>
      <w:r w:rsidRPr="00864090">
        <w:rPr>
          <w:b/>
          <w:bCs/>
          <w:color w:val="588392"/>
          <w:sz w:val="30"/>
          <w:szCs w:val="30"/>
        </w:rPr>
        <w:t xml:space="preserve">Decolonising </w:t>
      </w:r>
      <w:r w:rsidR="00033D25" w:rsidRPr="00864090">
        <w:rPr>
          <w:b/>
          <w:bCs/>
          <w:color w:val="588392"/>
          <w:sz w:val="30"/>
          <w:szCs w:val="30"/>
        </w:rPr>
        <w:t>P</w:t>
      </w:r>
      <w:r w:rsidRPr="00864090">
        <w:rPr>
          <w:b/>
          <w:bCs/>
          <w:color w:val="588392"/>
          <w:sz w:val="30"/>
          <w:szCs w:val="30"/>
        </w:rPr>
        <w:t>olitics</w:t>
      </w:r>
    </w:p>
    <w:p w14:paraId="52C5E71A" w14:textId="5FE54E29" w:rsidR="00A8144E" w:rsidRPr="00E85D72" w:rsidRDefault="008963F3" w:rsidP="00E85D72">
      <w:pPr>
        <w:ind w:left="567"/>
        <w:rPr>
          <w:b/>
          <w:bCs/>
          <w:color w:val="588392"/>
          <w:sz w:val="30"/>
          <w:szCs w:val="30"/>
        </w:rPr>
      </w:pPr>
      <w:r w:rsidRPr="002F281E">
        <w:rPr>
          <w:color w:val="588392"/>
          <w:sz w:val="28"/>
          <w:szCs w:val="28"/>
        </w:rPr>
        <w:t>Charlotte Galpin</w:t>
      </w:r>
      <w:bookmarkEnd w:id="16"/>
    </w:p>
    <w:p w14:paraId="26217AA8" w14:textId="77777777" w:rsidR="00FA471F" w:rsidRPr="00AB46B0" w:rsidRDefault="00FA471F" w:rsidP="00DB16C5">
      <w:pPr>
        <w:spacing w:after="120"/>
        <w:ind w:left="567"/>
        <w:jc w:val="both"/>
        <w:rPr>
          <w:rFonts w:ascii="Calibri" w:hAnsi="Calibri" w:cs="Calibri"/>
          <w:bCs/>
          <w:sz w:val="23"/>
          <w:szCs w:val="23"/>
        </w:rPr>
      </w:pPr>
    </w:p>
    <w:p w14:paraId="46883376" w14:textId="016F188D" w:rsidR="00033D25" w:rsidRPr="002F281E" w:rsidRDefault="00A8144E" w:rsidP="003F4EE3">
      <w:pPr>
        <w:spacing w:after="120"/>
        <w:ind w:left="567" w:right="333"/>
        <w:jc w:val="both"/>
        <w:rPr>
          <w:rFonts w:ascii="Calibri" w:hAnsi="Calibri" w:cs="Calibri"/>
          <w:bCs/>
        </w:rPr>
      </w:pPr>
      <w:r w:rsidRPr="002F281E">
        <w:rPr>
          <w:rFonts w:ascii="Calibri" w:hAnsi="Calibri" w:cs="Calibri"/>
          <w:bCs/>
        </w:rPr>
        <w:t xml:space="preserve">The rise of radical right populism and new forms of strongman authoritarianism across Europe and beyond require a response from the discipline of political science that takes into account the colonial histories behind diverse societies and new and past waves of migration as well as the gendered dynamics (Emejulu, 2018). Yet, in the UK for example, low levels of public knowledge of Britain’s colonial legacy means that these histories are usually invisible. </w:t>
      </w:r>
      <w:r w:rsidR="0021507E" w:rsidRPr="002F281E">
        <w:rPr>
          <w:rFonts w:ascii="Calibri" w:hAnsi="Calibri" w:cs="Calibri"/>
          <w:bCs/>
        </w:rPr>
        <w:t xml:space="preserve">Decolonising politics gives us a more complete and nuanced account of political </w:t>
      </w:r>
      <w:r w:rsidR="007068C6" w:rsidRPr="002F281E">
        <w:rPr>
          <w:rFonts w:ascii="Calibri" w:hAnsi="Calibri" w:cs="Calibri"/>
          <w:bCs/>
        </w:rPr>
        <w:t>ideas, institutions and movements</w:t>
      </w:r>
      <w:r w:rsidR="0021507E" w:rsidRPr="002F281E">
        <w:rPr>
          <w:rFonts w:ascii="Calibri" w:hAnsi="Calibri" w:cs="Calibri"/>
          <w:bCs/>
        </w:rPr>
        <w:t xml:space="preserve"> by integrating </w:t>
      </w:r>
      <w:r w:rsidR="007068C6" w:rsidRPr="002F281E">
        <w:rPr>
          <w:rFonts w:ascii="Calibri" w:hAnsi="Calibri" w:cs="Calibri"/>
          <w:bCs/>
        </w:rPr>
        <w:t>the historical processes of</w:t>
      </w:r>
      <w:r w:rsidR="0021507E" w:rsidRPr="002F281E">
        <w:rPr>
          <w:rFonts w:ascii="Calibri" w:hAnsi="Calibri" w:cs="Calibri"/>
          <w:bCs/>
        </w:rPr>
        <w:t xml:space="preserve"> colonialism and im</w:t>
      </w:r>
      <w:r w:rsidR="007068C6" w:rsidRPr="002F281E">
        <w:rPr>
          <w:rFonts w:ascii="Calibri" w:hAnsi="Calibri" w:cs="Calibri"/>
          <w:bCs/>
        </w:rPr>
        <w:t xml:space="preserve">perialism into our analysis. </w:t>
      </w:r>
    </w:p>
    <w:p w14:paraId="2418DF28" w14:textId="4490DC24" w:rsidR="00A8144E" w:rsidRPr="002F281E" w:rsidRDefault="00A8144E" w:rsidP="003F4EE3">
      <w:pPr>
        <w:spacing w:after="120"/>
        <w:ind w:left="567" w:right="333"/>
        <w:jc w:val="both"/>
        <w:rPr>
          <w:rFonts w:ascii="Calibri" w:hAnsi="Calibri" w:cs="Calibri"/>
        </w:rPr>
      </w:pPr>
      <w:r w:rsidRPr="002F281E">
        <w:rPr>
          <w:rFonts w:ascii="Calibri" w:hAnsi="Calibri" w:cs="Calibri"/>
          <w:bCs/>
        </w:rPr>
        <w:t>Decolonising a politics module or curriculum should not be seen as something that can be done overnight or indeed, something that can ever be completed. Rather, g</w:t>
      </w:r>
      <w:r w:rsidRPr="002F281E">
        <w:rPr>
          <w:rFonts w:ascii="Calibri" w:hAnsi="Calibri" w:cs="Calibri"/>
        </w:rPr>
        <w:t xml:space="preserve">iven the importance of contemporary political contexts, decolonising the curriculum is here understood as an ongoing and dynamic process of reflection, rather than a single event (see Quinlan &amp; Sayed, 2016). </w:t>
      </w:r>
    </w:p>
    <w:p w14:paraId="045A3749" w14:textId="77777777" w:rsidR="00033D25" w:rsidRPr="002F281E" w:rsidRDefault="00033D25" w:rsidP="003F4EE3">
      <w:pPr>
        <w:spacing w:after="120"/>
        <w:ind w:left="567" w:right="333"/>
        <w:jc w:val="both"/>
        <w:rPr>
          <w:rFonts w:ascii="Calibri" w:hAnsi="Calibri" w:cs="Calibri"/>
          <w:bCs/>
        </w:rPr>
      </w:pPr>
    </w:p>
    <w:p w14:paraId="7A3EB5A4" w14:textId="722B1DCA" w:rsidR="00A8144E" w:rsidRPr="002F281E" w:rsidRDefault="00A8144E" w:rsidP="003F4EE3">
      <w:pPr>
        <w:spacing w:after="120"/>
        <w:ind w:left="567" w:right="333"/>
        <w:jc w:val="both"/>
        <w:rPr>
          <w:rFonts w:ascii="Calibri" w:hAnsi="Calibri" w:cs="Calibri"/>
        </w:rPr>
      </w:pPr>
      <w:r w:rsidRPr="002F281E">
        <w:rPr>
          <w:rFonts w:ascii="Calibri" w:hAnsi="Calibri" w:cs="Calibri"/>
        </w:rPr>
        <w:t>Several starting points for thinking about decolonising a politics module could be:</w:t>
      </w:r>
    </w:p>
    <w:p w14:paraId="341AA389" w14:textId="77777777" w:rsidR="002F281E" w:rsidRDefault="00A8144E" w:rsidP="003F4EE3">
      <w:pPr>
        <w:pStyle w:val="ListParagraph"/>
        <w:numPr>
          <w:ilvl w:val="0"/>
          <w:numId w:val="42"/>
        </w:numPr>
        <w:spacing w:after="120"/>
        <w:ind w:right="333"/>
        <w:jc w:val="both"/>
        <w:rPr>
          <w:rFonts w:ascii="Calibri" w:hAnsi="Calibri" w:cs="Calibri"/>
          <w:b/>
          <w:bCs/>
        </w:rPr>
      </w:pPr>
      <w:r w:rsidRPr="002F281E">
        <w:rPr>
          <w:rFonts w:ascii="Calibri" w:hAnsi="Calibri" w:cs="Calibri"/>
          <w:b/>
          <w:bCs/>
        </w:rPr>
        <w:t>What power relations underpin knowledge produced by my topic/module?</w:t>
      </w:r>
    </w:p>
    <w:p w14:paraId="34A2CE90" w14:textId="77777777" w:rsidR="002F281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 xml:space="preserve">The Western university must be considered a ‘key site through which colonialism – and colonial knowledge in particular – is produced’ (Bhambra et al. 2018, p. 5). Universities decide which knowledge is valued and which is neglected or overlooked – history education for example creates ‘common knowledge’ and ‘objective historical facts’ without epistemological considerations of power behind the production of history knowledge (Gabriel, in Bhambra et al., 2018, p. 24). </w:t>
      </w:r>
    </w:p>
    <w:p w14:paraId="1B7D8495" w14:textId="6B9F2FCD" w:rsidR="00A8144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 xml:space="preserve">Decolonising thus needs to be distinguished from ‘diversifying’ the reading list by adding more diverse authors. Rather, decolonising a module involves ‘asking different kinds of questions’ and challenging the ‘the taken-for-grantedness of some of our key ideas related to institutions, citizenship and power’ (Emejulu, 2018, p. 205). </w:t>
      </w:r>
      <w:r w:rsidR="005B1179" w:rsidRPr="002F281E">
        <w:rPr>
          <w:rFonts w:ascii="Calibri" w:hAnsi="Calibri" w:cs="Calibri"/>
        </w:rPr>
        <w:t xml:space="preserve">It </w:t>
      </w:r>
      <w:r w:rsidRPr="002F281E">
        <w:rPr>
          <w:rFonts w:ascii="Calibri" w:hAnsi="Calibri" w:cs="Calibri"/>
        </w:rPr>
        <w:t>is about a fundamental rethinking of and critical engagement with the underlying assumptions, perspectives and power relations underpinning knowledge in our discipline and a consideration of who benefits from ‘the status of a knowing agent” (Emejulu, 2018, p. 204)</w:t>
      </w:r>
    </w:p>
    <w:p w14:paraId="39540918" w14:textId="77777777" w:rsidR="00A8144E" w:rsidRPr="002F281E" w:rsidRDefault="00A8144E" w:rsidP="003F4EE3">
      <w:pPr>
        <w:pStyle w:val="ListParagraph"/>
        <w:spacing w:after="120"/>
        <w:ind w:left="567" w:right="333"/>
        <w:jc w:val="both"/>
        <w:rPr>
          <w:rFonts w:ascii="Calibri" w:hAnsi="Calibri" w:cs="Calibri"/>
          <w:b/>
          <w:bCs/>
        </w:rPr>
      </w:pPr>
    </w:p>
    <w:p w14:paraId="0E445E4E" w14:textId="77777777" w:rsidR="003F4EE3" w:rsidRDefault="003F4EE3">
      <w:pPr>
        <w:rPr>
          <w:rFonts w:ascii="Calibri" w:hAnsi="Calibri" w:cs="Calibri"/>
          <w:b/>
          <w:bCs/>
        </w:rPr>
      </w:pPr>
      <w:r>
        <w:rPr>
          <w:rFonts w:ascii="Calibri" w:hAnsi="Calibri" w:cs="Calibri"/>
          <w:b/>
          <w:bCs/>
        </w:rPr>
        <w:br w:type="page"/>
      </w:r>
    </w:p>
    <w:p w14:paraId="23A2353B" w14:textId="583BEEC8" w:rsidR="002F281E" w:rsidRDefault="00A8144E" w:rsidP="003F4EE3">
      <w:pPr>
        <w:pStyle w:val="ListParagraph"/>
        <w:numPr>
          <w:ilvl w:val="0"/>
          <w:numId w:val="42"/>
        </w:numPr>
        <w:spacing w:after="120"/>
        <w:ind w:right="333"/>
        <w:jc w:val="both"/>
        <w:rPr>
          <w:rFonts w:ascii="Calibri" w:hAnsi="Calibri" w:cs="Calibri"/>
          <w:b/>
          <w:bCs/>
        </w:rPr>
      </w:pPr>
      <w:r w:rsidRPr="002F281E">
        <w:rPr>
          <w:rFonts w:ascii="Calibri" w:hAnsi="Calibri" w:cs="Calibri"/>
          <w:b/>
          <w:bCs/>
        </w:rPr>
        <w:t>How have political ideas and institutions been implicated in colonialism? What are the hidden colonial histories and assumptions underpinning the topic? Some examples:</w:t>
      </w:r>
    </w:p>
    <w:p w14:paraId="276C4DD7" w14:textId="77777777" w:rsidR="002F281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 xml:space="preserve">The development of capitalism through colonialism, i.e. the dependence of the industrial revolution on slave labour and tax revenue from India. </w:t>
      </w:r>
    </w:p>
    <w:p w14:paraId="6E060F45" w14:textId="77777777" w:rsidR="002F281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The state, nation and nation-states. As Gurminder Bhambra (2017) argues, Britain for example has never been a ‘nation-state’ but an imperial one, an empire. The nation-state is considered to have had its beginnings in Europe, but those nation-states were empires.</w:t>
      </w:r>
    </w:p>
    <w:p w14:paraId="0FC42543" w14:textId="77777777" w:rsidR="002F281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 xml:space="preserve">Migration, ethnicity and minorities – as Gurminder Bhambra (2015) argues, the ‘multicultural other’ is often conceptualised as migrating </w:t>
      </w:r>
      <w:r w:rsidRPr="002F281E">
        <w:rPr>
          <w:rFonts w:ascii="Calibri" w:hAnsi="Calibri" w:cs="Calibri"/>
          <w:i/>
          <w:iCs/>
        </w:rPr>
        <w:t>to</w:t>
      </w:r>
      <w:r w:rsidRPr="002F281E">
        <w:rPr>
          <w:rFonts w:ascii="Calibri" w:hAnsi="Calibri" w:cs="Calibri"/>
        </w:rPr>
        <w:t xml:space="preserve"> Europe rather than constitutive </w:t>
      </w:r>
      <w:r w:rsidRPr="002F281E">
        <w:rPr>
          <w:rFonts w:ascii="Calibri" w:hAnsi="Calibri" w:cs="Calibri"/>
          <w:i/>
          <w:iCs/>
        </w:rPr>
        <w:t>of</w:t>
      </w:r>
      <w:r w:rsidRPr="002F281E">
        <w:rPr>
          <w:rFonts w:ascii="Calibri" w:hAnsi="Calibri" w:cs="Calibri"/>
        </w:rPr>
        <w:t xml:space="preserve"> Europe. Alana Lentin (2014) argues that Eurocentrism in the work of migration scholars means that they ignore the centrality of race and coloniality in racism and attitudes to migration in a way that ‘pathologises’ racism as something external to Europe</w:t>
      </w:r>
    </w:p>
    <w:p w14:paraId="6322C2A9" w14:textId="164FD5A7" w:rsidR="00A8144E" w:rsidRPr="002F281E" w:rsidRDefault="00A8144E" w:rsidP="003F4EE3">
      <w:pPr>
        <w:pStyle w:val="ListParagraph"/>
        <w:numPr>
          <w:ilvl w:val="1"/>
          <w:numId w:val="42"/>
        </w:numPr>
        <w:spacing w:after="120"/>
        <w:ind w:left="1276" w:right="333"/>
        <w:jc w:val="both"/>
        <w:rPr>
          <w:rFonts w:ascii="Calibri" w:hAnsi="Calibri" w:cs="Calibri"/>
          <w:b/>
          <w:bCs/>
        </w:rPr>
      </w:pPr>
      <w:r w:rsidRPr="002F281E">
        <w:rPr>
          <w:rFonts w:ascii="Calibri" w:hAnsi="Calibri" w:cs="Calibri"/>
        </w:rPr>
        <w:t>Parties, voters, class. Bhambra argues that a ‘methodological whiteness’ underpins analysis of Brexit and Trump as the ‘left-behind’, involving a racialisation of the ‘white’ working class. See also intersectionality such as Emejulu and Bassel’s work on minority women and austerity</w:t>
      </w:r>
    </w:p>
    <w:p w14:paraId="4792A62F" w14:textId="77777777" w:rsidR="00A8144E" w:rsidRPr="002F281E" w:rsidRDefault="00A8144E" w:rsidP="003F4EE3">
      <w:pPr>
        <w:pStyle w:val="ListParagraph"/>
        <w:spacing w:after="120"/>
        <w:ind w:left="567" w:right="333"/>
        <w:jc w:val="both"/>
        <w:rPr>
          <w:rFonts w:ascii="Calibri" w:hAnsi="Calibri" w:cs="Calibri"/>
        </w:rPr>
      </w:pPr>
    </w:p>
    <w:p w14:paraId="03E6BC0D" w14:textId="77777777" w:rsidR="002F281E" w:rsidRDefault="009F2C7D" w:rsidP="003F4EE3">
      <w:pPr>
        <w:pStyle w:val="ListParagraph"/>
        <w:numPr>
          <w:ilvl w:val="0"/>
          <w:numId w:val="43"/>
        </w:numPr>
        <w:spacing w:after="120"/>
        <w:ind w:right="333"/>
        <w:jc w:val="both"/>
        <w:rPr>
          <w:rFonts w:ascii="Calibri" w:hAnsi="Calibri" w:cs="Calibri"/>
          <w:b/>
          <w:bCs/>
        </w:rPr>
      </w:pPr>
      <w:r w:rsidRPr="002F281E">
        <w:rPr>
          <w:rFonts w:ascii="Calibri" w:hAnsi="Calibri" w:cs="Calibri"/>
          <w:b/>
          <w:bCs/>
        </w:rPr>
        <w:t xml:space="preserve">How are political ideas, institutions and movements in the Global North </w:t>
      </w:r>
      <w:r w:rsidR="007068C6" w:rsidRPr="002F281E">
        <w:rPr>
          <w:rFonts w:ascii="Calibri" w:hAnsi="Calibri" w:cs="Calibri"/>
          <w:b/>
          <w:bCs/>
        </w:rPr>
        <w:t xml:space="preserve">and Global South </w:t>
      </w:r>
      <w:r w:rsidRPr="002F281E">
        <w:rPr>
          <w:rFonts w:ascii="Calibri" w:hAnsi="Calibri" w:cs="Calibri"/>
          <w:b/>
          <w:bCs/>
        </w:rPr>
        <w:t xml:space="preserve">co-constitutive? Are </w:t>
      </w:r>
      <w:r w:rsidR="0021507E" w:rsidRPr="002F281E">
        <w:rPr>
          <w:rFonts w:ascii="Calibri" w:hAnsi="Calibri" w:cs="Calibri"/>
          <w:b/>
          <w:bCs/>
        </w:rPr>
        <w:t>historical interconnections in the politics of the Global North and South</w:t>
      </w:r>
      <w:r w:rsidRPr="002F281E">
        <w:rPr>
          <w:rFonts w:ascii="Calibri" w:hAnsi="Calibri" w:cs="Calibri"/>
          <w:b/>
          <w:bCs/>
        </w:rPr>
        <w:t xml:space="preserve"> visible in the module? Some examples:</w:t>
      </w:r>
    </w:p>
    <w:p w14:paraId="4ABC7C75" w14:textId="5E1C2C98" w:rsidR="002F281E" w:rsidRPr="002F281E" w:rsidRDefault="00A8144E" w:rsidP="003F4EE3">
      <w:pPr>
        <w:pStyle w:val="ListParagraph"/>
        <w:numPr>
          <w:ilvl w:val="1"/>
          <w:numId w:val="43"/>
        </w:numPr>
        <w:spacing w:after="120"/>
        <w:ind w:left="1276" w:right="333"/>
        <w:jc w:val="both"/>
        <w:rPr>
          <w:rFonts w:ascii="Calibri" w:hAnsi="Calibri" w:cs="Calibri"/>
          <w:b/>
          <w:bCs/>
        </w:rPr>
      </w:pPr>
      <w:r w:rsidRPr="002F281E">
        <w:rPr>
          <w:rFonts w:ascii="Calibri" w:hAnsi="Calibri" w:cs="Calibri"/>
        </w:rPr>
        <w:t xml:space="preserve">Priyamvada Gopal’s book </w:t>
      </w:r>
      <w:r w:rsidRPr="002F281E">
        <w:rPr>
          <w:rFonts w:ascii="Calibri" w:hAnsi="Calibri" w:cs="Calibri"/>
          <w:i/>
          <w:iCs/>
        </w:rPr>
        <w:t>Insurgent Empire</w:t>
      </w:r>
      <w:r w:rsidRPr="002F281E">
        <w:rPr>
          <w:rFonts w:ascii="Calibri" w:hAnsi="Calibri" w:cs="Calibri"/>
        </w:rPr>
        <w:t xml:space="preserve"> explores how</w:t>
      </w:r>
      <w:r w:rsidR="009F2C7D" w:rsidRPr="002F281E">
        <w:rPr>
          <w:rFonts w:ascii="Calibri" w:hAnsi="Calibri" w:cs="Calibri"/>
        </w:rPr>
        <w:t xml:space="preserve"> different movements of</w:t>
      </w:r>
      <w:r w:rsidRPr="002F281E">
        <w:rPr>
          <w:rFonts w:ascii="Calibri" w:hAnsi="Calibri" w:cs="Calibri"/>
        </w:rPr>
        <w:t xml:space="preserve"> anti-colonial resistance across the British colonies</w:t>
      </w:r>
      <w:r w:rsidR="009F2C7D" w:rsidRPr="002F281E">
        <w:rPr>
          <w:rFonts w:ascii="Calibri" w:hAnsi="Calibri" w:cs="Calibri"/>
        </w:rPr>
        <w:t xml:space="preserve"> and specifically within India</w:t>
      </w:r>
      <w:r w:rsidRPr="002F281E">
        <w:rPr>
          <w:rFonts w:ascii="Calibri" w:hAnsi="Calibri" w:cs="Calibri"/>
        </w:rPr>
        <w:t xml:space="preserve"> influenced British critics of empire in the metropole, and consequently ideas about freedom and self-determinatio</w:t>
      </w:r>
      <w:r w:rsidR="002F281E">
        <w:rPr>
          <w:rFonts w:ascii="Calibri" w:hAnsi="Calibri" w:cs="Calibri"/>
        </w:rPr>
        <w:t>n.</w:t>
      </w:r>
    </w:p>
    <w:p w14:paraId="46F8FCEF" w14:textId="2B3C7E0D" w:rsidR="00A8144E" w:rsidRPr="002F281E" w:rsidRDefault="00A8144E" w:rsidP="003F4EE3">
      <w:pPr>
        <w:pStyle w:val="ListParagraph"/>
        <w:numPr>
          <w:ilvl w:val="1"/>
          <w:numId w:val="43"/>
        </w:numPr>
        <w:spacing w:after="120"/>
        <w:ind w:left="1276" w:right="333"/>
        <w:jc w:val="both"/>
        <w:rPr>
          <w:rFonts w:ascii="Calibri" w:hAnsi="Calibri" w:cs="Calibri"/>
          <w:b/>
          <w:bCs/>
        </w:rPr>
      </w:pPr>
      <w:r w:rsidRPr="002F281E">
        <w:rPr>
          <w:rFonts w:ascii="Calibri" w:hAnsi="Calibri" w:cs="Calibri"/>
        </w:rPr>
        <w:t xml:space="preserve">In the </w:t>
      </w:r>
      <w:r w:rsidRPr="002F281E">
        <w:rPr>
          <w:rFonts w:ascii="Calibri" w:hAnsi="Calibri" w:cs="Calibri"/>
          <w:i/>
          <w:iCs/>
        </w:rPr>
        <w:t>Decolonising Europe</w:t>
      </w:r>
      <w:r w:rsidRPr="002F281E">
        <w:rPr>
          <w:rFonts w:ascii="Calibri" w:hAnsi="Calibri" w:cs="Calibri"/>
        </w:rPr>
        <w:t xml:space="preserve"> lecture series from the University of Amsterdam, Gurminder K. Bhambra notes the role of the Haitian revolution and Haitian free people of colour in ensuring abolition of slavery was enshrined in the French constitution</w:t>
      </w:r>
      <w:r w:rsidR="009F2C7D" w:rsidRPr="002F281E">
        <w:rPr>
          <w:rFonts w:ascii="Calibri" w:hAnsi="Calibri" w:cs="Calibri"/>
        </w:rPr>
        <w:t xml:space="preserve">. </w:t>
      </w:r>
    </w:p>
    <w:p w14:paraId="040F5991" w14:textId="77777777" w:rsidR="00FA471F" w:rsidRPr="002F281E" w:rsidRDefault="00FA471F" w:rsidP="003F4EE3">
      <w:pPr>
        <w:pStyle w:val="ListParagraph"/>
        <w:spacing w:after="120"/>
        <w:ind w:left="567" w:right="333"/>
        <w:jc w:val="both"/>
        <w:rPr>
          <w:rFonts w:ascii="Calibri" w:hAnsi="Calibri" w:cs="Calibri"/>
        </w:rPr>
      </w:pPr>
    </w:p>
    <w:p w14:paraId="43599DF3" w14:textId="0A765405" w:rsidR="00D20DB1" w:rsidRDefault="00FA471F" w:rsidP="00DB16C5">
      <w:pPr>
        <w:ind w:left="567"/>
        <w:rPr>
          <w:rFonts w:ascii="Calibri" w:hAnsi="Calibri" w:cs="Calibri"/>
          <w:b/>
          <w:bCs/>
          <w:sz w:val="23"/>
          <w:szCs w:val="23"/>
        </w:rPr>
      </w:pPr>
      <w:r w:rsidRPr="00AB46B0">
        <w:rPr>
          <w:rFonts w:ascii="Calibri" w:hAnsi="Calibri" w:cs="Calibri"/>
          <w:b/>
          <w:bCs/>
          <w:sz w:val="23"/>
          <w:szCs w:val="23"/>
        </w:rPr>
        <w:br w:type="page"/>
      </w:r>
      <w:r w:rsidR="00D20DB1" w:rsidRPr="00AB46B0">
        <w:rPr>
          <w:rFonts w:ascii="Calibri" w:hAnsi="Calibri" w:cs="Calibri"/>
          <w:b/>
          <w:bCs/>
          <w:noProof/>
          <w:sz w:val="23"/>
          <w:szCs w:val="23"/>
          <w:lang w:eastAsia="en-GB"/>
        </w:rPr>
        <mc:AlternateContent>
          <mc:Choice Requires="wps">
            <w:drawing>
              <wp:anchor distT="0" distB="0" distL="114300" distR="114300" simplePos="0" relativeHeight="251659264" behindDoc="0" locked="0" layoutInCell="1" allowOverlap="1" wp14:anchorId="4BA7146F" wp14:editId="6433071C">
                <wp:simplePos x="0" y="0"/>
                <wp:positionH relativeFrom="column">
                  <wp:posOffset>12812</wp:posOffset>
                </wp:positionH>
                <wp:positionV relativeFrom="paragraph">
                  <wp:posOffset>-709295</wp:posOffset>
                </wp:positionV>
                <wp:extent cx="6270172" cy="8631534"/>
                <wp:effectExtent l="0" t="0" r="16510" b="17780"/>
                <wp:wrapNone/>
                <wp:docPr id="4" name="Text Box 4"/>
                <wp:cNvGraphicFramePr/>
                <a:graphic xmlns:a="http://schemas.openxmlformats.org/drawingml/2006/main">
                  <a:graphicData uri="http://schemas.microsoft.com/office/word/2010/wordprocessingShape">
                    <wps:wsp>
                      <wps:cNvSpPr txBox="1"/>
                      <wps:spPr>
                        <a:xfrm>
                          <a:off x="0" y="0"/>
                          <a:ext cx="6270172" cy="8631534"/>
                        </a:xfrm>
                        <a:prstGeom prst="rect">
                          <a:avLst/>
                        </a:prstGeom>
                        <a:solidFill>
                          <a:schemeClr val="bg1">
                            <a:lumMod val="95000"/>
                          </a:schemeClr>
                        </a:solidFill>
                        <a:ln w="6350">
                          <a:solidFill>
                            <a:prstClr val="black"/>
                          </a:solidFill>
                        </a:ln>
                      </wps:spPr>
                      <wps:txbx>
                        <w:txbxContent>
                          <w:p w14:paraId="7F99F5C1" w14:textId="77777777" w:rsidR="00A70BD8" w:rsidRDefault="00A70BD8" w:rsidP="005D552D">
                            <w:pPr>
                              <w:pStyle w:val="Heading2"/>
                              <w:jc w:val="center"/>
                              <w:rPr>
                                <w:b/>
                                <w:bCs/>
                                <w:sz w:val="30"/>
                                <w:szCs w:val="30"/>
                              </w:rPr>
                            </w:pPr>
                            <w:bookmarkStart w:id="17" w:name="_Toc50019544"/>
                            <w:bookmarkStart w:id="18" w:name="_Toc49932071"/>
                            <w:r w:rsidRPr="002F281E">
                              <w:rPr>
                                <w:b/>
                                <w:bCs/>
                                <w:sz w:val="30"/>
                                <w:szCs w:val="30"/>
                              </w:rPr>
                              <w:t>DESIGNING THE FINAL-YEAR MODULE,</w:t>
                            </w:r>
                            <w:bookmarkEnd w:id="17"/>
                            <w:r w:rsidRPr="002F281E">
                              <w:rPr>
                                <w:b/>
                                <w:bCs/>
                                <w:sz w:val="30"/>
                                <w:szCs w:val="30"/>
                              </w:rPr>
                              <w:t xml:space="preserve"> </w:t>
                            </w:r>
                          </w:p>
                          <w:p w14:paraId="0C1E398F" w14:textId="16F63D4A" w:rsidR="00A70BD8" w:rsidRPr="002F281E" w:rsidRDefault="00A70BD8" w:rsidP="005D552D">
                            <w:pPr>
                              <w:pStyle w:val="Heading2"/>
                              <w:jc w:val="center"/>
                              <w:rPr>
                                <w:b/>
                                <w:bCs/>
                                <w:sz w:val="30"/>
                                <w:szCs w:val="30"/>
                              </w:rPr>
                            </w:pPr>
                            <w:bookmarkStart w:id="19" w:name="_Toc50019545"/>
                            <w:r w:rsidRPr="002F281E">
                              <w:rPr>
                                <w:b/>
                                <w:bCs/>
                                <w:sz w:val="30"/>
                                <w:szCs w:val="30"/>
                              </w:rPr>
                              <w:t>‘UNDERSTANDING BREXIT: IDENTITY AND EUROSCEPTICISM IN EUROPE’</w:t>
                            </w:r>
                            <w:bookmarkEnd w:id="18"/>
                            <w:bookmarkEnd w:id="19"/>
                          </w:p>
                          <w:p w14:paraId="4CD24C4C" w14:textId="77777777" w:rsidR="00A70BD8" w:rsidRPr="00864090" w:rsidRDefault="00A70BD8" w:rsidP="00864090">
                            <w:pPr>
                              <w:rPr>
                                <w:sz w:val="22"/>
                                <w:szCs w:val="22"/>
                              </w:rPr>
                            </w:pPr>
                          </w:p>
                          <w:p w14:paraId="7E92D3A6" w14:textId="28532F78"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When I set out to design this module, I had already observed a kind of ‘Brexit publishing industry’ that had seen a large number of books published quickly after the referendum mostly by white men. Most of these do not deal with issues of gender, race or empire, but they do write about ‘immigration’ primarily as a problem with which to be dealt, or as the subject of ‘legitimate concerns’ of (implicitly white) voters. Given how closely Brexit is tied to racism, evidenced not least by the sharp rise in hate crimes after the referendum, I felt that if I didn’t address race and colonialism in the module it would contribute to the problem. I also saw that race was a blind spot in my own work, which I wanted to address. I therefore write here not as an expert but someone who has been trying to reflect critically on her own biases. </w:t>
                            </w:r>
                          </w:p>
                          <w:p w14:paraId="61CE8A0E"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 While ‘diversifying’ our reading lists is not the same as decolonising, scholars of colour were more likely to be writing about Brexit from the perspective of race and empire. Work by people like Gurminder K. Bhambra and Akwugo Emejulu helped me think about Brexit, Euroscepticism and identity in a different way. A key challenge in designing this module has been (un)learning for myself how the legacy of Britain and Europe’s colonial past shapes not just present day British and European politics itself but also what we know about it. </w:t>
                            </w:r>
                          </w:p>
                          <w:p w14:paraId="4B931393"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Another challenge I encountered was that if I tried to find work on race and colonialism within the ‘mainstream’ journals and books, I would not get very far. Trying to decolonise Brexit has involved reaching outside of the discipline of political science, into journals in the fields of IR, sociology, history, critical race studies, postcolonial studies and cultural studies. At the same, decolonising requires rethinking where we get our knowledge, and this means reaching beyond the gatekeepers of academia, where people of colour and scholarship on race are marginalised. In my teaching I have therefore used reports and publications from charities and think-tanks, blogs, and books published by non-academic publishers. I also learn from anti-racist and black feminist activists via social media. </w:t>
                            </w:r>
                          </w:p>
                          <w:p w14:paraId="6462DC18" w14:textId="33771323"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There is much more do, and I do not consider this module anywhere near “decolonised”, but it did cover some topics that I can see are omitted from modules on Brexit at other universities. For example, we contextualise Britain’s accession to the EU in the era of decolonisation, migration and racialised changes to British citizenship law. We use intersectionality to critically examine the ‘left behind’ thesis by exploring the role of class, race and gender in the Brexit vote, which shows that while austerity played some role in the vote to leave, it is women of colour who are the most impacted by austerity and the most economically marginalised, yet black and ethnic minority voters were much more likely to vote for Remain. We also critique the so-called ‘backlash against multiculturalism’ and explore the manifestation of gendered forms of Islamophobia in the referendum campaign. </w:t>
                            </w:r>
                          </w:p>
                          <w:p w14:paraId="3FA281ED"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It is an ongoing process that I am continuing, trying to think critically about the different topics. For example, when covering about Eurosceptic and right-wing populist parties, I want to better contextualise those parties within their histories of perpetuating racial exclusions (for example, looking at the influence of Powellism on Conservative Party Euroscepticism) and avoid the common pitfall of ‘pathologising’ racism as something on the fringes of the party system, or indeed, in the case of Britain, imagining far-right extremism to be something that exists ‘on the continent’. When writing about media Euroscepticism, where much of the mainstream scholarship rests on Habermas’ concept of the European public sphere, I need to engage more closely postcolonial critiques of his use of rationality and the Enlightenment. Another issue is that the literature on decolonising the curriculum is clear that students should be involved in this process. When planning the new module ‘Britain in Europe and the World’ I want to involve POLSIS students of colour in this process as much as possible. </w:t>
                            </w:r>
                          </w:p>
                          <w:p w14:paraId="585F2894"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Overall, this task has been an intellectual exercise in reflecting on my own blind spots but has also transformed my own research. I really loved teaching this module.</w:t>
                            </w:r>
                          </w:p>
                          <w:p w14:paraId="19F12A6F" w14:textId="77777777" w:rsidR="00A70BD8" w:rsidRPr="00864090" w:rsidRDefault="00A70BD8">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A7146F" id="_x0000_t202" coordsize="21600,21600" o:spt="202" path="m,l,21600r21600,l21600,xe">
                <v:stroke joinstyle="miter"/>
                <v:path gradientshapeok="t" o:connecttype="rect"/>
              </v:shapetype>
              <v:shape id="Text Box 4" o:spid="_x0000_s1026" type="#_x0000_t202" style="position:absolute;left:0;text-align:left;margin-left:1pt;margin-top:-55.85pt;width:493.7pt;height:67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" fillcolor="#f2f2f2 [3052]" strokeweight=".5pt">
                <v:textbox>
                  <w:txbxContent>
                    <w:p w14:paraId="7F99F5C1" w14:textId="77777777" w:rsidR="00A70BD8" w:rsidRDefault="00A70BD8" w:rsidP="005D552D">
                      <w:pPr>
                        <w:pStyle w:val="Heading2"/>
                        <w:jc w:val="center"/>
                        <w:rPr>
                          <w:b/>
                          <w:bCs/>
                          <w:sz w:val="30"/>
                          <w:szCs w:val="30"/>
                        </w:rPr>
                      </w:pPr>
                      <w:bookmarkStart w:id="19" w:name="_Toc50019544"/>
                      <w:bookmarkStart w:id="20" w:name="_Toc49932071"/>
                      <w:r w:rsidRPr="002F281E">
                        <w:rPr>
                          <w:b/>
                          <w:bCs/>
                          <w:sz w:val="30"/>
                          <w:szCs w:val="30"/>
                        </w:rPr>
                        <w:t>DESIGNING THE FINAL-YEAR MODULE,</w:t>
                      </w:r>
                      <w:bookmarkEnd w:id="19"/>
                      <w:r w:rsidRPr="002F281E">
                        <w:rPr>
                          <w:b/>
                          <w:bCs/>
                          <w:sz w:val="30"/>
                          <w:szCs w:val="30"/>
                        </w:rPr>
                        <w:t xml:space="preserve"> </w:t>
                      </w:r>
                    </w:p>
                    <w:p w14:paraId="0C1E398F" w14:textId="16F63D4A" w:rsidR="00A70BD8" w:rsidRPr="002F281E" w:rsidRDefault="00A70BD8" w:rsidP="005D552D">
                      <w:pPr>
                        <w:pStyle w:val="Heading2"/>
                        <w:jc w:val="center"/>
                        <w:rPr>
                          <w:b/>
                          <w:bCs/>
                          <w:sz w:val="30"/>
                          <w:szCs w:val="30"/>
                        </w:rPr>
                      </w:pPr>
                      <w:bookmarkStart w:id="21" w:name="_Toc50019545"/>
                      <w:r w:rsidRPr="002F281E">
                        <w:rPr>
                          <w:b/>
                          <w:bCs/>
                          <w:sz w:val="30"/>
                          <w:szCs w:val="30"/>
                        </w:rPr>
                        <w:t>‘UNDERSTANDING BREXIT: IDENTITY AND EUROSCEPTICISM IN EUROPE’</w:t>
                      </w:r>
                      <w:bookmarkEnd w:id="20"/>
                      <w:bookmarkEnd w:id="21"/>
                    </w:p>
                    <w:p w14:paraId="4CD24C4C" w14:textId="77777777" w:rsidR="00A70BD8" w:rsidRPr="00864090" w:rsidRDefault="00A70BD8" w:rsidP="00864090">
                      <w:pPr>
                        <w:rPr>
                          <w:sz w:val="22"/>
                          <w:szCs w:val="22"/>
                        </w:rPr>
                      </w:pPr>
                    </w:p>
                    <w:p w14:paraId="7E92D3A6" w14:textId="28532F78"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When I set out to design this module, I had already observed a kind of ‘Brexit publishing industry’ that had seen a large number of books published quickly after the referendum mostly by white men. Most of these do not deal with issues of gender, race or empire, but they do write about ‘immigration’ primarily as a problem with which to be dealt, or as the subject of ‘legitimate concerns’ of (implicitly white) voters. Given how closely Brexit is tied to racism, evidenced not least by the sharp rise in hate crimes after the referendum, I felt that if I didn’t address race and colonialism in the module it would contribute to the problem. I also saw that race was a blind spot in my own work, which I wanted to address. I therefore write here not as an expert but someone who has been trying to reflect critically on her own biases. </w:t>
                      </w:r>
                    </w:p>
                    <w:p w14:paraId="61CE8A0E"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 While ‘diversifying’ our reading lists is not the same as decolonising, scholars of colour were more likely to be writing about Brexit from the perspective of race and empire. Work by people like Gurminder K. </w:t>
                      </w:r>
                      <w:proofErr w:type="spellStart"/>
                      <w:r w:rsidRPr="00864090">
                        <w:rPr>
                          <w:rFonts w:ascii="Calibri" w:hAnsi="Calibri" w:cs="Calibri"/>
                          <w:sz w:val="22"/>
                          <w:szCs w:val="22"/>
                        </w:rPr>
                        <w:t>Bhambra</w:t>
                      </w:r>
                      <w:proofErr w:type="spellEnd"/>
                      <w:r w:rsidRPr="00864090">
                        <w:rPr>
                          <w:rFonts w:ascii="Calibri" w:hAnsi="Calibri" w:cs="Calibri"/>
                          <w:sz w:val="22"/>
                          <w:szCs w:val="22"/>
                        </w:rPr>
                        <w:t xml:space="preserve"> and </w:t>
                      </w:r>
                      <w:proofErr w:type="spellStart"/>
                      <w:r w:rsidRPr="00864090">
                        <w:rPr>
                          <w:rFonts w:ascii="Calibri" w:hAnsi="Calibri" w:cs="Calibri"/>
                          <w:sz w:val="22"/>
                          <w:szCs w:val="22"/>
                        </w:rPr>
                        <w:t>Akwugo</w:t>
                      </w:r>
                      <w:proofErr w:type="spellEnd"/>
                      <w:r w:rsidRPr="00864090">
                        <w:rPr>
                          <w:rFonts w:ascii="Calibri" w:hAnsi="Calibri" w:cs="Calibri"/>
                          <w:sz w:val="22"/>
                          <w:szCs w:val="22"/>
                        </w:rPr>
                        <w:t xml:space="preserve"> </w:t>
                      </w:r>
                      <w:proofErr w:type="spellStart"/>
                      <w:r w:rsidRPr="00864090">
                        <w:rPr>
                          <w:rFonts w:ascii="Calibri" w:hAnsi="Calibri" w:cs="Calibri"/>
                          <w:sz w:val="22"/>
                          <w:szCs w:val="22"/>
                        </w:rPr>
                        <w:t>Emejulu</w:t>
                      </w:r>
                      <w:proofErr w:type="spellEnd"/>
                      <w:r w:rsidRPr="00864090">
                        <w:rPr>
                          <w:rFonts w:ascii="Calibri" w:hAnsi="Calibri" w:cs="Calibri"/>
                          <w:sz w:val="22"/>
                          <w:szCs w:val="22"/>
                        </w:rPr>
                        <w:t xml:space="preserve"> helped me think about Brexit, Euroscepticism and identity in a different way. A key challenge in designing this module has been (un)learning for myself how the legacy of Britain and Europe’s colonial past shapes not just present day British and European politics itself but also what we know about it. </w:t>
                      </w:r>
                    </w:p>
                    <w:p w14:paraId="4B931393"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Another challenge I encountered was that if I tried to find work on race and colonialism within the ‘mainstream’ journals and books, I would not get very far. Trying to decolonise Brexit has involved reaching outside of the discipline of political science, into journals in the fields of IR, sociology, history, critical race studies, postcolonial studies and cultural studies. At the same, decolonising requires rethinking where we get our knowledge, and this means reaching beyond the gatekeepers of academia, where people of colour and scholarship on race are marginalised. In my teaching I have therefore used reports and publications from charities and think-tanks, blogs, and books published by non-academic publishers. I also learn from anti-racist and black feminist activists via social media. </w:t>
                      </w:r>
                    </w:p>
                    <w:p w14:paraId="6462DC18" w14:textId="33771323"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There is much more do, and I do not consider this module anywhere near “decolonised”, but it did cover some topics that I can see are omitted from modules on Brexit at other universities. For example, we contextualise Britain’s accession to the EU in the era of decolonisation, migration and racialised changes to British citizenship law. We use intersectionality to critically examine the ‘left behind’ thesis by exploring the role of class, race and gender in the Brexit vote, which shows that while austerity played some role in the vote to leave, it is women of colour who are the most impacted by austerity and the most economically marginalised, yet black and ethnic minority voters were much more likely to vote for Remain. We also critique the so-called ‘backlash against multiculturalism’ and explore the manifestation of gendered forms of Islamophobia in the referendum campaign. </w:t>
                      </w:r>
                    </w:p>
                    <w:p w14:paraId="3FA281ED"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 xml:space="preserve">It is an ongoing process that I am continuing, trying to think critically about the different topics. For example, when covering about Eurosceptic and right-wing populist parties, I want to better contextualise those parties within their histories of perpetuating racial exclusions (for example, looking at the influence of </w:t>
                      </w:r>
                      <w:proofErr w:type="spellStart"/>
                      <w:r w:rsidRPr="00864090">
                        <w:rPr>
                          <w:rFonts w:ascii="Calibri" w:hAnsi="Calibri" w:cs="Calibri"/>
                          <w:sz w:val="22"/>
                          <w:szCs w:val="22"/>
                        </w:rPr>
                        <w:t>Powellism</w:t>
                      </w:r>
                      <w:proofErr w:type="spellEnd"/>
                      <w:r w:rsidRPr="00864090">
                        <w:rPr>
                          <w:rFonts w:ascii="Calibri" w:hAnsi="Calibri" w:cs="Calibri"/>
                          <w:sz w:val="22"/>
                          <w:szCs w:val="22"/>
                        </w:rPr>
                        <w:t xml:space="preserve"> on Conservative Party Euroscepticism) and avoid the common pitfall of ‘</w:t>
                      </w:r>
                      <w:proofErr w:type="spellStart"/>
                      <w:r w:rsidRPr="00864090">
                        <w:rPr>
                          <w:rFonts w:ascii="Calibri" w:hAnsi="Calibri" w:cs="Calibri"/>
                          <w:sz w:val="22"/>
                          <w:szCs w:val="22"/>
                        </w:rPr>
                        <w:t>pathologising</w:t>
                      </w:r>
                      <w:proofErr w:type="spellEnd"/>
                      <w:r w:rsidRPr="00864090">
                        <w:rPr>
                          <w:rFonts w:ascii="Calibri" w:hAnsi="Calibri" w:cs="Calibri"/>
                          <w:sz w:val="22"/>
                          <w:szCs w:val="22"/>
                        </w:rPr>
                        <w:t xml:space="preserve">’ racism as something on the fringes of the party system, or indeed, in the case of Britain, imagining far-right extremism to be something that exists ‘on the continent’. When writing about media Euroscepticism, where much of the mainstream scholarship rests on Habermas’ concept of the European public sphere, I need to engage more closely postcolonial critiques of his use of rationality and the Enlightenment. Another issue is that the literature on decolonising the curriculum is clear that students should be involved in this process. When planning the new module ‘Britain in Europe and the World’ I want to involve POLSIS students of colour in this process as much as possible. </w:t>
                      </w:r>
                    </w:p>
                    <w:p w14:paraId="585F2894" w14:textId="77777777" w:rsidR="00A70BD8" w:rsidRPr="00864090" w:rsidRDefault="00A70BD8" w:rsidP="00FA471F">
                      <w:pPr>
                        <w:spacing w:after="120"/>
                        <w:jc w:val="both"/>
                        <w:rPr>
                          <w:rFonts w:ascii="Calibri" w:hAnsi="Calibri" w:cs="Calibri"/>
                          <w:sz w:val="22"/>
                          <w:szCs w:val="22"/>
                        </w:rPr>
                      </w:pPr>
                      <w:r w:rsidRPr="00864090">
                        <w:rPr>
                          <w:rFonts w:ascii="Calibri" w:hAnsi="Calibri" w:cs="Calibri"/>
                          <w:sz w:val="22"/>
                          <w:szCs w:val="22"/>
                        </w:rPr>
                        <w:t>Overall, this task has been an intellectual exercise in reflecting on my own blind spots but has also transformed my own research. I really loved teaching this module.</w:t>
                      </w:r>
                    </w:p>
                    <w:p w14:paraId="19F12A6F" w14:textId="77777777" w:rsidR="00A70BD8" w:rsidRPr="00864090" w:rsidRDefault="00A70BD8">
                      <w:pPr>
                        <w:rPr>
                          <w:sz w:val="22"/>
                          <w:szCs w:val="22"/>
                        </w:rPr>
                      </w:pPr>
                    </w:p>
                  </w:txbxContent>
                </v:textbox>
              </v:shape>
            </w:pict>
          </mc:Fallback>
        </mc:AlternateContent>
      </w:r>
      <w:r w:rsidR="00D20DB1">
        <w:rPr>
          <w:rFonts w:ascii="Calibri" w:hAnsi="Calibri" w:cs="Calibri"/>
          <w:b/>
          <w:bCs/>
          <w:sz w:val="23"/>
          <w:szCs w:val="23"/>
        </w:rPr>
        <w:br w:type="page"/>
      </w:r>
    </w:p>
    <w:p w14:paraId="6A2354CF" w14:textId="77777777" w:rsidR="00FA471F" w:rsidRPr="00AB46B0" w:rsidRDefault="00FA471F" w:rsidP="00DB16C5">
      <w:pPr>
        <w:ind w:left="567"/>
        <w:rPr>
          <w:rFonts w:ascii="Calibri" w:hAnsi="Calibri" w:cs="Calibri"/>
          <w:b/>
          <w:bCs/>
          <w:sz w:val="23"/>
          <w:szCs w:val="23"/>
        </w:rPr>
      </w:pPr>
    </w:p>
    <w:p w14:paraId="25203D07" w14:textId="77777777" w:rsidR="002F281E" w:rsidRPr="00E85D72" w:rsidRDefault="00480075" w:rsidP="00E85D72">
      <w:pPr>
        <w:pStyle w:val="Heading2"/>
        <w:ind w:left="567"/>
        <w:rPr>
          <w:b/>
          <w:bCs/>
          <w:color w:val="588392"/>
          <w:sz w:val="30"/>
          <w:szCs w:val="30"/>
        </w:rPr>
      </w:pPr>
      <w:bookmarkStart w:id="20" w:name="_Toc50019546"/>
      <w:bookmarkStart w:id="21" w:name="_Toc49932072"/>
      <w:r w:rsidRPr="00E85D72">
        <w:rPr>
          <w:b/>
          <w:bCs/>
          <w:color w:val="588392"/>
          <w:sz w:val="30"/>
          <w:szCs w:val="30"/>
        </w:rPr>
        <w:t>Some Thoughts on Decolonising Political Theory</w:t>
      </w:r>
      <w:bookmarkEnd w:id="20"/>
      <w:r w:rsidR="008963F3" w:rsidRPr="00E85D72">
        <w:rPr>
          <w:b/>
          <w:bCs/>
          <w:color w:val="588392"/>
          <w:sz w:val="30"/>
          <w:szCs w:val="30"/>
        </w:rPr>
        <w:t xml:space="preserve"> </w:t>
      </w:r>
    </w:p>
    <w:p w14:paraId="2CB3FBD4" w14:textId="0DAAE08B" w:rsidR="007B3BE3" w:rsidRDefault="008963F3" w:rsidP="00E85D72">
      <w:pPr>
        <w:pStyle w:val="Heading2"/>
        <w:ind w:left="567"/>
        <w:rPr>
          <w:color w:val="588392"/>
          <w:sz w:val="28"/>
          <w:szCs w:val="28"/>
        </w:rPr>
      </w:pPr>
      <w:bookmarkStart w:id="22" w:name="_Toc50019547"/>
      <w:r w:rsidRPr="002F281E">
        <w:rPr>
          <w:color w:val="588392"/>
          <w:sz w:val="28"/>
          <w:szCs w:val="28"/>
        </w:rPr>
        <w:t>Jeanne Morefield</w:t>
      </w:r>
      <w:bookmarkEnd w:id="21"/>
      <w:bookmarkEnd w:id="22"/>
    </w:p>
    <w:p w14:paraId="6F74E8A5" w14:textId="77777777" w:rsidR="002F281E" w:rsidRPr="002F281E" w:rsidRDefault="002F281E" w:rsidP="003F4EE3">
      <w:pPr>
        <w:ind w:right="333"/>
      </w:pPr>
    </w:p>
    <w:p w14:paraId="5E272807" w14:textId="7D296BE4" w:rsidR="007B3BE3" w:rsidRDefault="007B3BE3" w:rsidP="003F4EE3">
      <w:pPr>
        <w:spacing w:after="120"/>
        <w:ind w:left="567" w:right="333"/>
        <w:jc w:val="both"/>
        <w:rPr>
          <w:rFonts w:ascii="Calibri" w:hAnsi="Calibri"/>
        </w:rPr>
      </w:pPr>
      <w:r w:rsidRPr="002F281E">
        <w:rPr>
          <w:rFonts w:ascii="Calibri" w:hAnsi="Calibri"/>
        </w:rPr>
        <w:t xml:space="preserve">Scholars/teachers of political theory who are interested in challenging the largely European/Anglo orientation of the subfield will sometimes approach that challenge through the lens of “diversity.”  In other words, most political theorists have been trained to begin with a coherent syllabus (e.g. “Introduction to Modern Political Theory” or “Machiavelli to Marx”) which is organized chronologically around a particular group of European philosophers, asking a particular set of questions: “What is freedom?” “What is justice?”  “What is the relationship between political and economic life?”  They then imagine inserting one two non-European theorists into the mix.  The core issues remain the same and these additional voices are there to provide either: a) particular perspectives on what are otherwise presumed to be universal questions (e.g. a Black perspective on freedom) </w:t>
      </w:r>
      <w:r w:rsidRPr="002F281E">
        <w:rPr>
          <w:rFonts w:ascii="Calibri" w:hAnsi="Calibri"/>
          <w:i/>
          <w:iCs/>
        </w:rPr>
        <w:t xml:space="preserve">or, </w:t>
      </w:r>
      <w:r w:rsidRPr="002F281E">
        <w:rPr>
          <w:rFonts w:ascii="Calibri" w:hAnsi="Calibri"/>
        </w:rPr>
        <w:t>b)</w:t>
      </w:r>
      <w:r w:rsidRPr="002F281E">
        <w:rPr>
          <w:rFonts w:ascii="Calibri" w:hAnsi="Calibri"/>
          <w:i/>
          <w:iCs/>
        </w:rPr>
        <w:t xml:space="preserve"> </w:t>
      </w:r>
      <w:r w:rsidRPr="002F281E">
        <w:rPr>
          <w:rFonts w:ascii="Calibri" w:hAnsi="Calibri"/>
        </w:rPr>
        <w:t>insight into a completely different political cosmology (e.g. political community from a Theravada Buddhist perspective).</w:t>
      </w:r>
    </w:p>
    <w:p w14:paraId="391D022A" w14:textId="77777777" w:rsidR="00740204" w:rsidRPr="002F281E" w:rsidRDefault="00740204" w:rsidP="003F4EE3">
      <w:pPr>
        <w:spacing w:after="120"/>
        <w:ind w:left="567" w:right="333"/>
        <w:jc w:val="both"/>
        <w:rPr>
          <w:rFonts w:ascii="Calibri" w:hAnsi="Calibri"/>
        </w:rPr>
      </w:pPr>
    </w:p>
    <w:p w14:paraId="308369E2" w14:textId="77777777" w:rsidR="007B3BE3" w:rsidRPr="002F281E" w:rsidRDefault="007B3BE3" w:rsidP="003F4EE3">
      <w:pPr>
        <w:spacing w:after="120"/>
        <w:ind w:left="567" w:right="333"/>
        <w:jc w:val="both"/>
        <w:rPr>
          <w:rFonts w:ascii="Calibri" w:hAnsi="Calibri"/>
        </w:rPr>
      </w:pPr>
      <w:r w:rsidRPr="002F281E">
        <w:rPr>
          <w:rFonts w:ascii="Calibri" w:hAnsi="Calibri"/>
        </w:rPr>
        <w:t>The problem with this way of approaching the political theory curriculum is that it assumes there is a coherent body of thought out there attached to a coherent group of canonical thinkers asking particular questions (e.g. “What is freedom?”) which must be covered if one is to say one has had a proper education in political theory.  From this perspective, the voices of non-Europeans, anti-colonial scholars, women, and people of color can, at best, look peripheral to the real show and, at worst, their inclusion can seem like it entails sacrificing figures and concepts which are essential to a broad knowledge of the field.</w:t>
      </w:r>
    </w:p>
    <w:p w14:paraId="0725A661" w14:textId="77777777" w:rsidR="00740204" w:rsidRDefault="00740204" w:rsidP="003F4EE3">
      <w:pPr>
        <w:spacing w:after="120"/>
        <w:ind w:left="567" w:right="333"/>
        <w:jc w:val="both"/>
        <w:rPr>
          <w:rFonts w:ascii="Calibri" w:hAnsi="Calibri"/>
        </w:rPr>
      </w:pPr>
    </w:p>
    <w:p w14:paraId="2DC62539" w14:textId="28E8D44F" w:rsidR="007B3BE3" w:rsidRDefault="007B3BE3" w:rsidP="003F4EE3">
      <w:pPr>
        <w:spacing w:after="120"/>
        <w:ind w:left="567" w:right="333"/>
        <w:jc w:val="both"/>
        <w:rPr>
          <w:rFonts w:ascii="Calibri" w:hAnsi="Calibri"/>
        </w:rPr>
      </w:pPr>
      <w:r w:rsidRPr="002F281E">
        <w:rPr>
          <w:rFonts w:ascii="Calibri" w:hAnsi="Calibri"/>
        </w:rPr>
        <w:t>Decolonizing (rather than “diversifying”) political theory, by contrast, means abandoning this zero-sum game mentality.  One way to begin doing this is to start thinking about political theory through the historical connections sewn by centuries of imperialism. This entails challenging two, commonly-held, fundamental assumptions about the subdiscipline:</w:t>
      </w:r>
    </w:p>
    <w:p w14:paraId="01C94E6D" w14:textId="77777777" w:rsidR="002F281E" w:rsidRPr="002F281E" w:rsidRDefault="002F281E" w:rsidP="003F4EE3">
      <w:pPr>
        <w:spacing w:after="120"/>
        <w:ind w:left="567" w:right="333"/>
        <w:jc w:val="both"/>
        <w:rPr>
          <w:rFonts w:ascii="Calibri" w:hAnsi="Calibri"/>
        </w:rPr>
      </w:pPr>
    </w:p>
    <w:p w14:paraId="0F0D7377" w14:textId="77777777" w:rsidR="002F281E" w:rsidRDefault="007B3BE3" w:rsidP="003F4EE3">
      <w:pPr>
        <w:pStyle w:val="ListParagraph"/>
        <w:numPr>
          <w:ilvl w:val="0"/>
          <w:numId w:val="44"/>
        </w:numPr>
        <w:spacing w:after="120"/>
        <w:ind w:right="333"/>
        <w:jc w:val="both"/>
        <w:rPr>
          <w:rFonts w:ascii="Calibri" w:hAnsi="Calibri"/>
        </w:rPr>
      </w:pPr>
      <w:r w:rsidRPr="002F281E">
        <w:rPr>
          <w:rFonts w:ascii="Calibri" w:hAnsi="Calibri"/>
          <w:b/>
          <w:bCs/>
        </w:rPr>
        <w:t>The canon is timeless and self-evident.</w:t>
      </w:r>
      <w:r w:rsidRPr="002F281E">
        <w:rPr>
          <w:rFonts w:ascii="Calibri" w:hAnsi="Calibri"/>
        </w:rPr>
        <w:t xml:space="preserve">  Most students, graduate students, scholars, and teachers of political theory have been educated in an intellectual milieu which presents the canon as an untroubled whole.  The “history of political thought” is still widely taught either by walking through the ideas of a fixed set of philosophical thinkers linked together through meta-historical conversations about politics and ethics </w:t>
      </w:r>
      <w:r w:rsidRPr="002F281E">
        <w:rPr>
          <w:rFonts w:ascii="Calibri" w:hAnsi="Calibri"/>
          <w:i/>
          <w:iCs/>
        </w:rPr>
        <w:t xml:space="preserve">or </w:t>
      </w:r>
      <w:r w:rsidRPr="002F281E">
        <w:rPr>
          <w:rFonts w:ascii="Calibri" w:hAnsi="Calibri"/>
        </w:rPr>
        <w:t>(for Cambridge school adherents, for instance) as the historical progression of major thinkers who are themselves embedded in contextual conversations with a variety of extant interlocutors. In both cases, the group of major thinkers (e.g. Plato, Machiavelli, Hobbes, Locke, Rousseau) remains the same.</w:t>
      </w:r>
    </w:p>
    <w:p w14:paraId="0D07A059" w14:textId="77777777" w:rsidR="002F281E" w:rsidRDefault="002F281E" w:rsidP="003F4EE3">
      <w:pPr>
        <w:pStyle w:val="ListParagraph"/>
        <w:spacing w:after="120"/>
        <w:ind w:left="927" w:right="333"/>
        <w:jc w:val="both"/>
        <w:rPr>
          <w:rFonts w:ascii="Calibri" w:hAnsi="Calibri"/>
          <w:b/>
          <w:bCs/>
        </w:rPr>
      </w:pPr>
    </w:p>
    <w:p w14:paraId="4EDDEDD8" w14:textId="77777777" w:rsidR="002F281E" w:rsidRDefault="007B3BE3" w:rsidP="003F4EE3">
      <w:pPr>
        <w:pStyle w:val="ListParagraph"/>
        <w:spacing w:after="120"/>
        <w:ind w:left="927" w:right="333"/>
        <w:jc w:val="both"/>
        <w:rPr>
          <w:rFonts w:ascii="Calibri" w:hAnsi="Calibri"/>
        </w:rPr>
      </w:pPr>
      <w:r w:rsidRPr="002F281E">
        <w:rPr>
          <w:rFonts w:ascii="Calibri" w:hAnsi="Calibri"/>
        </w:rPr>
        <w:t>Historicizing the canon (or “provincializing” it as Dipesh Chakrabarty might put it) means looking more closely at the process through which this canon was formed.</w:t>
      </w:r>
      <w:r w:rsidRPr="002F281E">
        <w:rPr>
          <w:rStyle w:val="FootnoteReference"/>
          <w:rFonts w:ascii="Calibri" w:hAnsi="Calibri"/>
        </w:rPr>
        <w:footnoteReference w:id="2"/>
      </w:r>
      <w:r w:rsidRPr="002F281E">
        <w:rPr>
          <w:rFonts w:ascii="Calibri" w:hAnsi="Calibri"/>
        </w:rPr>
        <w:t xml:space="preserve">  As John Gunnell, Duncan Bell, and others have argued, the formation of the political theory canon as it is taught in universities in Britain and North America is largely the product of a post-war process of consolidation that took place alongside, and in the service of, the concretion of Political Science as a discrete academic field.  According to Gunnell, scholars invested in identifying the parameters of the field tended to imagine it both in contrast and relation to Political Science </w:t>
      </w:r>
      <w:r w:rsidRPr="002F281E">
        <w:rPr>
          <w:rFonts w:ascii="Calibri" w:hAnsi="Calibri"/>
          <w:i/>
          <w:iCs/>
        </w:rPr>
        <w:t>and</w:t>
      </w:r>
      <w:r w:rsidRPr="002F281E">
        <w:rPr>
          <w:rFonts w:ascii="Calibri" w:hAnsi="Calibri"/>
        </w:rPr>
        <w:t xml:space="preserve"> in relation to a “tradition” of European political philosophy.</w:t>
      </w:r>
      <w:r w:rsidRPr="002F281E">
        <w:rPr>
          <w:vertAlign w:val="superscript"/>
        </w:rPr>
        <w:footnoteReference w:id="3"/>
      </w:r>
      <w:r w:rsidRPr="002F281E">
        <w:rPr>
          <w:rFonts w:ascii="Calibri" w:hAnsi="Calibri"/>
        </w:rPr>
        <w:t xml:space="preserve">  These scholars were also inclined to construe the intellectual practice of political theorizing as primarily engaged with the emergence, contestation, and re-emergence of particular concepts over time, “a plot,” as Gunnell puts it, “containing distinct points of beginning, transformation, and, even, end.”</w:t>
      </w:r>
      <w:r w:rsidRPr="002F281E">
        <w:rPr>
          <w:vertAlign w:val="superscript"/>
        </w:rPr>
        <w:footnoteReference w:id="4"/>
      </w:r>
    </w:p>
    <w:p w14:paraId="462E0AF8" w14:textId="77777777" w:rsidR="002F281E" w:rsidRDefault="002F281E" w:rsidP="003F4EE3">
      <w:pPr>
        <w:pStyle w:val="ListParagraph"/>
        <w:spacing w:after="120"/>
        <w:ind w:left="927" w:right="333"/>
        <w:jc w:val="both"/>
        <w:rPr>
          <w:rFonts w:ascii="Calibri" w:hAnsi="Calibri"/>
        </w:rPr>
      </w:pPr>
    </w:p>
    <w:p w14:paraId="2AC71108" w14:textId="77777777" w:rsidR="002F281E" w:rsidRDefault="007B3BE3" w:rsidP="003F4EE3">
      <w:pPr>
        <w:pStyle w:val="ListParagraph"/>
        <w:spacing w:after="120"/>
        <w:ind w:left="927" w:right="333"/>
        <w:jc w:val="both"/>
        <w:rPr>
          <w:rFonts w:ascii="Calibri" w:hAnsi="Calibri"/>
        </w:rPr>
      </w:pPr>
      <w:r w:rsidRPr="002F281E">
        <w:rPr>
          <w:rFonts w:ascii="Calibri" w:hAnsi="Calibri"/>
        </w:rPr>
        <w:t xml:space="preserve">Once we can see the political theory canon as a (relatively) recent historical object, we can start asking other questions about its makeup and coherence.  Who, for instance, was left out of this field-defining project and what would their inclusion change our ideas about the “plot” of political theory today?  How does troubling the coherence of the canon open up our conceptual horizons to ethical and political questions that we would not otherwise ask?  How does it change what </w:t>
      </w:r>
      <w:r w:rsidRPr="002F281E">
        <w:rPr>
          <w:rFonts w:ascii="Calibri" w:hAnsi="Calibri"/>
          <w:i/>
          <w:iCs/>
        </w:rPr>
        <w:t>counts</w:t>
      </w:r>
      <w:r w:rsidRPr="002F281E">
        <w:rPr>
          <w:rFonts w:ascii="Calibri" w:hAnsi="Calibri"/>
        </w:rPr>
        <w:t xml:space="preserve"> as political theory?  </w:t>
      </w:r>
    </w:p>
    <w:p w14:paraId="3EAC2B2D" w14:textId="77777777" w:rsidR="002F281E" w:rsidRDefault="002F281E" w:rsidP="003F4EE3">
      <w:pPr>
        <w:pStyle w:val="ListParagraph"/>
        <w:spacing w:after="120"/>
        <w:ind w:left="927" w:right="333"/>
        <w:jc w:val="both"/>
        <w:rPr>
          <w:rFonts w:ascii="Calibri" w:hAnsi="Calibri"/>
        </w:rPr>
      </w:pPr>
    </w:p>
    <w:p w14:paraId="4C093BD2" w14:textId="31E5243E" w:rsidR="007B3BE3" w:rsidRPr="002F281E" w:rsidRDefault="007B3BE3" w:rsidP="003F4EE3">
      <w:pPr>
        <w:pStyle w:val="ListParagraph"/>
        <w:spacing w:after="120"/>
        <w:ind w:left="927" w:right="333"/>
        <w:jc w:val="both"/>
        <w:rPr>
          <w:rFonts w:ascii="Calibri" w:hAnsi="Calibri"/>
        </w:rPr>
      </w:pPr>
      <w:r w:rsidRPr="002F281E">
        <w:rPr>
          <w:rFonts w:ascii="Calibri" w:hAnsi="Calibri"/>
        </w:rPr>
        <w:t>Thinking about the canon as a historical object constructed through strategic inclusion and omission then makes it possible to think about expanding what “counts” as political theory to texts which seem to defy the genre and content norms identified with a tradition created by post-war canon-makers and canon-preservers.  For instance, W.E.B. Dubois’ philosophically and politically rich writings often refuse to cohere to a fixed genre – moving, in the course of a single essay, between historical, philosophical, and literary styles.</w:t>
      </w:r>
      <w:r w:rsidRPr="002F281E">
        <w:rPr>
          <w:rStyle w:val="FootnoteReference"/>
          <w:rFonts w:ascii="Calibri" w:hAnsi="Calibri"/>
        </w:rPr>
        <w:footnoteReference w:id="5"/>
      </w:r>
      <w:r w:rsidRPr="002F281E">
        <w:rPr>
          <w:rFonts w:ascii="Calibri" w:hAnsi="Calibri"/>
        </w:rPr>
        <w:t xml:space="preserve">  Their inclusion in a political theory syllabus significantly deepens the kinds of questions we can ask about politics, culture, race, and political theory texts themselves.  Expanding our conception of what “counts” as political theory also makes it possible to think more broadly about texts which seem “too political” (not abstract and philosophical enough) from a traditional political theory perspective, texts written in the midst of anti-colonial struggle for instance (e.g. Fanon’s </w:t>
      </w:r>
      <w:r w:rsidRPr="002F281E">
        <w:rPr>
          <w:rFonts w:ascii="Calibri" w:hAnsi="Calibri"/>
          <w:i/>
          <w:iCs/>
        </w:rPr>
        <w:t>Wretched of the Earth</w:t>
      </w:r>
      <w:r w:rsidRPr="002F281E">
        <w:rPr>
          <w:rFonts w:ascii="Calibri" w:hAnsi="Calibri"/>
        </w:rPr>
        <w:t xml:space="preserve">). </w:t>
      </w:r>
    </w:p>
    <w:p w14:paraId="51655521" w14:textId="77777777" w:rsidR="007B3BE3" w:rsidRPr="002F281E" w:rsidRDefault="007B3BE3" w:rsidP="003F4EE3">
      <w:pPr>
        <w:pStyle w:val="ListParagraph"/>
        <w:spacing w:after="120"/>
        <w:ind w:left="567" w:right="333"/>
        <w:jc w:val="both"/>
        <w:rPr>
          <w:rFonts w:ascii="Calibri" w:hAnsi="Calibri"/>
        </w:rPr>
      </w:pPr>
    </w:p>
    <w:p w14:paraId="17AB9A58" w14:textId="77777777" w:rsidR="002F281E" w:rsidRDefault="007B3BE3" w:rsidP="003F4EE3">
      <w:pPr>
        <w:pStyle w:val="ListParagraph"/>
        <w:numPr>
          <w:ilvl w:val="0"/>
          <w:numId w:val="44"/>
        </w:numPr>
        <w:spacing w:after="120"/>
        <w:ind w:right="333"/>
        <w:jc w:val="both"/>
        <w:rPr>
          <w:rFonts w:ascii="Calibri" w:hAnsi="Calibri"/>
        </w:rPr>
      </w:pPr>
      <w:r w:rsidRPr="002F281E">
        <w:rPr>
          <w:rFonts w:ascii="Calibri" w:hAnsi="Calibri"/>
          <w:b/>
          <w:bCs/>
        </w:rPr>
        <w:t xml:space="preserve">The history of Europe is distinct from the history of the rest of the world. </w:t>
      </w:r>
      <w:r w:rsidRPr="002F281E">
        <w:rPr>
          <w:rFonts w:ascii="Calibri" w:hAnsi="Calibri"/>
        </w:rPr>
        <w:t>When historically minded scholars set out to contextualize modern political theory, they often do so by placing major thinkers in relation to their immediate political environment and among their various interlocutors.  For instance, reading Locke on the state requires (for a contextualist) thinking about the politics of the Rye House Plot, the Glorious Revolution, and the various arguments about political and religious life circulating through late seventeenth-century England.  Or, reading Mill on free speech in this vein requires thinking about the particular configuration of the British public sphere in the mid nineteenth-century.</w:t>
      </w:r>
    </w:p>
    <w:p w14:paraId="7BAA59C9" w14:textId="77777777" w:rsidR="002F281E" w:rsidRDefault="002F281E" w:rsidP="003F4EE3">
      <w:pPr>
        <w:pStyle w:val="ListParagraph"/>
        <w:spacing w:after="120"/>
        <w:ind w:left="927" w:right="333"/>
        <w:jc w:val="both"/>
        <w:rPr>
          <w:rFonts w:ascii="Calibri" w:hAnsi="Calibri"/>
        </w:rPr>
      </w:pPr>
    </w:p>
    <w:p w14:paraId="22611908" w14:textId="77777777" w:rsidR="002F281E" w:rsidRDefault="007B3BE3" w:rsidP="003F4EE3">
      <w:pPr>
        <w:pStyle w:val="ListParagraph"/>
        <w:spacing w:after="120"/>
        <w:ind w:left="927" w:right="333"/>
        <w:jc w:val="both"/>
        <w:rPr>
          <w:rFonts w:ascii="Calibri" w:hAnsi="Calibri"/>
          <w:i/>
        </w:rPr>
      </w:pPr>
      <w:r w:rsidRPr="002F281E">
        <w:rPr>
          <w:rFonts w:ascii="Calibri" w:hAnsi="Calibri"/>
        </w:rPr>
        <w:t xml:space="preserve">And yet, as Edward Said and Stuart Hall remind us, from the modern period onward, European cultural, political, and economic development took place in the context of rapidly expanding, globe spanning, empires.  Said thus cautions scholars, in </w:t>
      </w:r>
      <w:r w:rsidRPr="002F281E">
        <w:rPr>
          <w:rFonts w:ascii="Calibri" w:hAnsi="Calibri"/>
          <w:i/>
        </w:rPr>
        <w:t>Culture and Imperialism</w:t>
      </w:r>
      <w:r w:rsidRPr="002F281E">
        <w:rPr>
          <w:rFonts w:ascii="Calibri" w:hAnsi="Calibri"/>
        </w:rPr>
        <w:t xml:space="preserve"> and elsewhere, against reading the “cultural archive” associated with the West – its literature, philosophy, histories – as the univocal efflux of one, unsullied source flowing, unaltered, into the world, touching and reshaping the inert cultures of the non-West along the way.  Rather, Said urges us to read history “contrapuntally,” that is, “with a simultaneous awareness both of the metropolitan history” narrated by Western authors and “those other histories against which (and together with which) the dominating discourse acts.”</w:t>
      </w:r>
      <w:r w:rsidRPr="002F281E">
        <w:rPr>
          <w:rStyle w:val="FootnoteReference"/>
          <w:rFonts w:ascii="Calibri" w:hAnsi="Calibri"/>
        </w:rPr>
        <w:footnoteReference w:id="6"/>
      </w:r>
      <w:r w:rsidRPr="002F281E">
        <w:rPr>
          <w:rFonts w:ascii="Calibri" w:hAnsi="Calibri"/>
          <w:i/>
        </w:rPr>
        <w:t xml:space="preserve">  </w:t>
      </w:r>
    </w:p>
    <w:p w14:paraId="53C712BB" w14:textId="77777777" w:rsidR="002F281E" w:rsidRDefault="002F281E" w:rsidP="003F4EE3">
      <w:pPr>
        <w:pStyle w:val="ListParagraph"/>
        <w:spacing w:after="120"/>
        <w:ind w:left="927" w:right="333"/>
        <w:jc w:val="both"/>
        <w:rPr>
          <w:rFonts w:ascii="Calibri" w:hAnsi="Calibri"/>
          <w:i/>
        </w:rPr>
      </w:pPr>
    </w:p>
    <w:p w14:paraId="11F8196C" w14:textId="77777777" w:rsidR="002F281E" w:rsidRDefault="007B3BE3" w:rsidP="003F4EE3">
      <w:pPr>
        <w:pStyle w:val="ListParagraph"/>
        <w:spacing w:after="120"/>
        <w:ind w:left="927" w:right="333"/>
        <w:jc w:val="both"/>
        <w:rPr>
          <w:rFonts w:ascii="Calibri" w:hAnsi="Calibri"/>
          <w:iCs/>
        </w:rPr>
      </w:pPr>
      <w:r w:rsidRPr="002F281E">
        <w:rPr>
          <w:rFonts w:ascii="Calibri" w:hAnsi="Calibri"/>
          <w:iCs/>
        </w:rPr>
        <w:t xml:space="preserve">Reading political theory contrapuntally means several things.  It can mean approaching the relationship between Europe and the colonial world as a “point of entry” for studying modern political theory not as a </w:t>
      </w:r>
      <w:r w:rsidRPr="002F281E">
        <w:rPr>
          <w:rFonts w:ascii="Calibri" w:hAnsi="Calibri"/>
          <w:i/>
          <w:iCs/>
        </w:rPr>
        <w:t>sui generis</w:t>
      </w:r>
      <w:r w:rsidRPr="002F281E">
        <w:rPr>
          <w:rFonts w:ascii="Calibri" w:hAnsi="Calibri"/>
          <w:iCs/>
        </w:rPr>
        <w:t xml:space="preserve"> mode of pure philosophical expression but as always imbricated, in complicated ways, with the historical fact of empire through extended contact with, and domination of, the colonial “other.”</w:t>
      </w:r>
      <w:r w:rsidRPr="002F281E">
        <w:rPr>
          <w:vertAlign w:val="superscript"/>
        </w:rPr>
        <w:footnoteReference w:id="7"/>
      </w:r>
      <w:r w:rsidRPr="002F281E">
        <w:rPr>
          <w:rFonts w:ascii="Calibri" w:hAnsi="Calibri"/>
          <w:iCs/>
        </w:rPr>
        <w:t xml:space="preserve">  Studying “the colonizer and the colonized together” also means reversing the directionality of the imperial gaze by analyzing the movement, integration, reception, and impact of thinkers from the colonial world </w:t>
      </w:r>
      <w:r w:rsidRPr="002F281E">
        <w:rPr>
          <w:rFonts w:ascii="Calibri" w:hAnsi="Calibri"/>
          <w:i/>
          <w:iCs/>
        </w:rPr>
        <w:t>on</w:t>
      </w:r>
      <w:r w:rsidRPr="002F281E">
        <w:rPr>
          <w:rFonts w:ascii="Calibri" w:hAnsi="Calibri"/>
          <w:iCs/>
        </w:rPr>
        <w:t xml:space="preserve"> the metropole as they actively “write back to the center,” in Salmon Rushdie’s words.</w:t>
      </w:r>
      <w:r w:rsidRPr="002F281E">
        <w:rPr>
          <w:vertAlign w:val="superscript"/>
        </w:rPr>
        <w:footnoteReference w:id="8"/>
      </w:r>
      <w:r w:rsidRPr="002F281E">
        <w:rPr>
          <w:rFonts w:ascii="Calibri" w:hAnsi="Calibri"/>
          <w:iCs/>
        </w:rPr>
        <w:t xml:space="preserve">  And finally, reading the colonizer and colonized together entails situating the colonial experience within the context of what Said referred to as the “continuous history of struggle.”  “Imperialism is never the imposing of one view on another,” he continued, it is “a contested and joint experience.”</w:t>
      </w:r>
      <w:r w:rsidRPr="002F281E">
        <w:rPr>
          <w:vertAlign w:val="superscript"/>
        </w:rPr>
        <w:footnoteReference w:id="9"/>
      </w:r>
      <w:r w:rsidRPr="002F281E">
        <w:rPr>
          <w:rFonts w:ascii="Calibri" w:hAnsi="Calibri"/>
          <w:iCs/>
        </w:rPr>
        <w:t xml:space="preserve">  In a nutshell then, reading culture contrapuntally means treating non-Western and Western experiences as, in Said’s words,  “belonging together” because, at the end of the day, “they are connected by imperialism.”</w:t>
      </w:r>
      <w:r w:rsidRPr="002F281E">
        <w:rPr>
          <w:vertAlign w:val="superscript"/>
        </w:rPr>
        <w:footnoteReference w:id="10"/>
      </w:r>
      <w:r w:rsidRPr="002F281E">
        <w:rPr>
          <w:rFonts w:ascii="Calibri" w:hAnsi="Calibri"/>
          <w:iCs/>
        </w:rPr>
        <w:t xml:space="preserve">  </w:t>
      </w:r>
    </w:p>
    <w:p w14:paraId="2E80AF9D" w14:textId="77777777" w:rsidR="002F281E" w:rsidRDefault="002F281E" w:rsidP="003F4EE3">
      <w:pPr>
        <w:pStyle w:val="ListParagraph"/>
        <w:spacing w:after="120"/>
        <w:ind w:left="927" w:right="333"/>
        <w:jc w:val="both"/>
        <w:rPr>
          <w:rFonts w:ascii="Calibri" w:hAnsi="Calibri"/>
          <w:iCs/>
        </w:rPr>
      </w:pPr>
    </w:p>
    <w:p w14:paraId="6731F782" w14:textId="75F40C16" w:rsidR="007B3BE3" w:rsidRPr="002F281E" w:rsidRDefault="007B3BE3" w:rsidP="003F4EE3">
      <w:pPr>
        <w:pStyle w:val="ListParagraph"/>
        <w:spacing w:after="120"/>
        <w:ind w:left="927" w:right="333"/>
        <w:jc w:val="both"/>
        <w:rPr>
          <w:rFonts w:ascii="Calibri" w:hAnsi="Calibri"/>
        </w:rPr>
      </w:pPr>
      <w:r w:rsidRPr="002F281E">
        <w:rPr>
          <w:rFonts w:ascii="Calibri" w:hAnsi="Calibri"/>
          <w:iCs/>
        </w:rPr>
        <w:t xml:space="preserve">Ultimately, for political theorists, this can mean many different things.  It can, for instance, mean looking closely at the political economy of land ownership </w:t>
      </w:r>
      <w:r w:rsidRPr="002F281E">
        <w:rPr>
          <w:rFonts w:ascii="Calibri" w:hAnsi="Calibri"/>
        </w:rPr>
        <w:t xml:space="preserve">that prompted the ubiquitous mentions of “America” in Locke’s property chapter.  It can mean reconfiguring our approach to Mill’s thinking about progress by taking into account the way racialized conceptions of Indian and Chinese civilizations developed in light of his decade’s long relationship to the East India Company impacted his theorizing.  It can mean upending Mill’s thinking entirely by focusing on Gandhi’s radical reimagining of time as an “oceanic circle.” Opening this door to “connection” then opens the door (again) to voices that have been historically excluded from the canon.  </w:t>
      </w:r>
    </w:p>
    <w:p w14:paraId="70B15153" w14:textId="77777777" w:rsidR="005B1179" w:rsidRPr="002F281E" w:rsidRDefault="005B1179" w:rsidP="003F4EE3">
      <w:pPr>
        <w:pStyle w:val="ListParagraph"/>
        <w:spacing w:after="120"/>
        <w:ind w:left="567" w:right="333"/>
        <w:jc w:val="both"/>
        <w:rPr>
          <w:rFonts w:ascii="Calibri" w:hAnsi="Calibri"/>
        </w:rPr>
      </w:pPr>
    </w:p>
    <w:p w14:paraId="6D8098F2" w14:textId="5D89E0BA" w:rsidR="007B3BE3" w:rsidRPr="002F281E" w:rsidRDefault="007B3BE3" w:rsidP="003F4EE3">
      <w:pPr>
        <w:pStyle w:val="ListParagraph"/>
        <w:spacing w:after="120"/>
        <w:ind w:left="567" w:right="333"/>
        <w:jc w:val="both"/>
        <w:rPr>
          <w:rFonts w:ascii="Calibri" w:hAnsi="Calibri"/>
        </w:rPr>
      </w:pPr>
      <w:r w:rsidRPr="002F281E">
        <w:rPr>
          <w:rFonts w:ascii="Calibri" w:hAnsi="Calibri"/>
        </w:rPr>
        <w:t xml:space="preserve">There are </w:t>
      </w:r>
      <w:r w:rsidRPr="002F281E">
        <w:rPr>
          <w:rFonts w:ascii="Calibri" w:hAnsi="Calibri"/>
          <w:i/>
          <w:iCs/>
        </w:rPr>
        <w:t xml:space="preserve">many </w:t>
      </w:r>
      <w:r w:rsidRPr="002F281E">
        <w:rPr>
          <w:rFonts w:ascii="Calibri" w:hAnsi="Calibri"/>
        </w:rPr>
        <w:t xml:space="preserve">ways of reading the history of political thought in conversation with imperialism and anti-colonial thought that don’t have to entail finding direct historical parallels between European thinkers and their contemporary Asian, African, indigenous counterparts.  We can, for instance, think about the questions Tocqueville raises in the context of theorizing about America, link these to his writings on Algeria, and then link both to the understanding of democracy, capitalism, and geographic space that Fanon would go on to brilliantly critique (in the context of Algeria) a hundred years later.  Or, we can explore the way both Edmund Burke and Aime Cesaire discuss the idea of imperial “blowback” at length, using extraordinarily similar language, nearly a 150 years apart.  Reading these texts together has much to tell us about the changing nature of sovereignty, violence, conceptions of generational justice, etc.  </w:t>
      </w:r>
    </w:p>
    <w:p w14:paraId="0D7F17EA" w14:textId="77777777" w:rsidR="005B1179" w:rsidRPr="002F281E" w:rsidRDefault="005B1179" w:rsidP="003F4EE3">
      <w:pPr>
        <w:pStyle w:val="ListParagraph"/>
        <w:spacing w:after="120"/>
        <w:ind w:left="567" w:right="333"/>
        <w:jc w:val="both"/>
        <w:rPr>
          <w:rFonts w:ascii="Calibri" w:hAnsi="Calibri"/>
        </w:rPr>
      </w:pPr>
    </w:p>
    <w:p w14:paraId="2EE2BE54" w14:textId="77777777" w:rsidR="007B3BE3" w:rsidRPr="002F281E" w:rsidRDefault="007B3BE3" w:rsidP="003F4EE3">
      <w:pPr>
        <w:pStyle w:val="ListParagraph"/>
        <w:spacing w:after="120"/>
        <w:ind w:left="567" w:right="333"/>
        <w:jc w:val="both"/>
        <w:rPr>
          <w:rFonts w:ascii="Calibri" w:hAnsi="Calibri"/>
        </w:rPr>
      </w:pPr>
      <w:r w:rsidRPr="002F281E">
        <w:rPr>
          <w:rFonts w:ascii="Calibri" w:hAnsi="Calibri"/>
        </w:rPr>
        <w:t>Perhaps most importantly, reading anti-colonial scholarship, Black political thought, indigenous political and postcolonial thought in conversation with so called canonical texts significantly troubles, enriches, and expands the fixed, universal notions of subjectivity that have attached themselves over time to mainstream theory.  This “epistemological whiteness,” as Charles Mills calls it, both limits political imagination and makes it impossible to see the redundant modes of exclusion and injustice baked into the longue durée of European political theory.</w:t>
      </w:r>
      <w:r w:rsidRPr="002F281E">
        <w:rPr>
          <w:rStyle w:val="FootnoteReference"/>
          <w:rFonts w:ascii="Calibri" w:hAnsi="Calibri"/>
        </w:rPr>
        <w:footnoteReference w:id="11"/>
      </w:r>
    </w:p>
    <w:p w14:paraId="31623CF3" w14:textId="679EED46" w:rsidR="007B3BE3" w:rsidRPr="002F281E" w:rsidRDefault="007B3BE3" w:rsidP="003F4EE3">
      <w:pPr>
        <w:pStyle w:val="ListParagraph"/>
        <w:spacing w:after="120"/>
        <w:ind w:left="567" w:right="333"/>
        <w:jc w:val="both"/>
        <w:rPr>
          <w:rFonts w:ascii="Calibri" w:hAnsi="Calibri"/>
        </w:rPr>
      </w:pPr>
      <w:r w:rsidRPr="002F281E">
        <w:rPr>
          <w:rFonts w:ascii="Calibri" w:hAnsi="Calibri"/>
        </w:rPr>
        <w:t>Moreover, imagining the historical relationship between “the West and the Rest” through the connections of imperialism also enables political theorists to think broadly and contrapuntally about other forms of non-imperial connection.  For instance, the textual and contextual linkages between Greek and Roman thought, the interpretations of Islamic scholars, and medieval European political theory are fascinating and tell us a great deal about the origins of Thomistic political thought in particular and medieval political thought in general.</w:t>
      </w:r>
    </w:p>
    <w:p w14:paraId="37F875D3" w14:textId="77777777" w:rsidR="00740204" w:rsidRDefault="00740204" w:rsidP="003F4EE3">
      <w:pPr>
        <w:spacing w:after="120"/>
        <w:ind w:left="567" w:right="333"/>
        <w:jc w:val="both"/>
        <w:rPr>
          <w:rFonts w:ascii="Calibri" w:hAnsi="Calibri"/>
        </w:rPr>
      </w:pPr>
    </w:p>
    <w:p w14:paraId="2A801E2F" w14:textId="0D19F5D4" w:rsidR="007B3BE3" w:rsidRPr="002F281E" w:rsidRDefault="007B3BE3" w:rsidP="003F4EE3">
      <w:pPr>
        <w:spacing w:after="120"/>
        <w:ind w:left="567" w:right="333"/>
        <w:jc w:val="both"/>
        <w:rPr>
          <w:rFonts w:ascii="Calibri" w:hAnsi="Calibri"/>
        </w:rPr>
      </w:pPr>
      <w:r w:rsidRPr="002F281E">
        <w:rPr>
          <w:rFonts w:ascii="Calibri" w:hAnsi="Calibri"/>
        </w:rPr>
        <w:t>Focusing on connection-through-imperialism, however, is obviously only one approach to decolonizing political theory.  This approach might change, for instance, if one were focused on contemporary political theory (e.g. the complexities of post-Rawlsian liberalism), or if one wanted to put together a syllabus entirely on a non-European political theory tradition (e.g. Confucian political thought), or it one wanted to think comparatively and globally about a particular theme (e.g. politics and religion, comparative perspectives on capitalism).  Moreover, this approach comes attached to some not insignificant political and intellectual complications:</w:t>
      </w:r>
    </w:p>
    <w:p w14:paraId="3A3BF8FC" w14:textId="2BC4CF58" w:rsidR="007B3BE3" w:rsidRPr="002F281E" w:rsidRDefault="007B3BE3" w:rsidP="003F4EE3">
      <w:pPr>
        <w:pStyle w:val="ListParagraph"/>
        <w:numPr>
          <w:ilvl w:val="0"/>
          <w:numId w:val="8"/>
        </w:numPr>
        <w:spacing w:after="120"/>
        <w:ind w:left="993" w:right="333"/>
        <w:jc w:val="both"/>
        <w:rPr>
          <w:rFonts w:ascii="Calibri" w:hAnsi="Calibri"/>
        </w:rPr>
      </w:pPr>
      <w:r w:rsidRPr="002F281E">
        <w:rPr>
          <w:rFonts w:ascii="Calibri" w:hAnsi="Calibri"/>
        </w:rPr>
        <w:t>First, starting from a place that assumes “the West” and “the Rest” – anti-colonial, postcolonial, Black, Asian, indigenous, political thinkers – are “</w:t>
      </w:r>
      <w:r w:rsidRPr="002F281E">
        <w:rPr>
          <w:rFonts w:ascii="Calibri" w:hAnsi="Calibri"/>
          <w:iCs/>
        </w:rPr>
        <w:t>connected by imperialism”</w:t>
      </w:r>
      <w:r w:rsidRPr="002F281E">
        <w:rPr>
          <w:rFonts w:ascii="Calibri" w:hAnsi="Calibri"/>
        </w:rPr>
        <w:t xml:space="preserve"> may sometimes appear to trivialize the actual historical horrors of imperial dispossession, the political economy of black chattel slavery, the relentless resource extraction, and the everyday violence, necessary to maintain colonial rule.  </w:t>
      </w:r>
    </w:p>
    <w:p w14:paraId="3C97CE72" w14:textId="77777777" w:rsidR="00740204" w:rsidRDefault="00740204" w:rsidP="003F4EE3">
      <w:pPr>
        <w:pStyle w:val="ListParagraph"/>
        <w:spacing w:after="120"/>
        <w:ind w:left="567" w:right="333"/>
        <w:jc w:val="both"/>
        <w:rPr>
          <w:rFonts w:ascii="Calibri" w:hAnsi="Calibri"/>
        </w:rPr>
      </w:pPr>
    </w:p>
    <w:p w14:paraId="0622D257" w14:textId="51CCE5C6" w:rsidR="007B3BE3" w:rsidRPr="002F281E" w:rsidRDefault="007B3BE3" w:rsidP="003F4EE3">
      <w:pPr>
        <w:pStyle w:val="ListParagraph"/>
        <w:numPr>
          <w:ilvl w:val="0"/>
          <w:numId w:val="8"/>
        </w:numPr>
        <w:spacing w:after="120"/>
        <w:ind w:left="993" w:right="333"/>
        <w:jc w:val="both"/>
        <w:rPr>
          <w:rFonts w:ascii="Calibri" w:hAnsi="Calibri"/>
        </w:rPr>
      </w:pPr>
      <w:r w:rsidRPr="002F281E">
        <w:rPr>
          <w:rFonts w:ascii="Calibri" w:hAnsi="Calibri"/>
        </w:rPr>
        <w:t xml:space="preserve">Second, reading the “canonical” texts of political theory through their connections to the history of imperial dispossession, slavery, and violence may sometimes appear to detract from the value and beauty of these texts themselves, texts which are often gorgeously insightful, philosophically rich, and politically important. </w:t>
      </w:r>
    </w:p>
    <w:p w14:paraId="3FC83400" w14:textId="77777777" w:rsidR="00740204" w:rsidRDefault="00740204" w:rsidP="003F4EE3">
      <w:pPr>
        <w:spacing w:after="120"/>
        <w:ind w:left="567" w:right="333"/>
        <w:jc w:val="both"/>
        <w:rPr>
          <w:rFonts w:ascii="Calibri" w:hAnsi="Calibri"/>
        </w:rPr>
      </w:pPr>
    </w:p>
    <w:p w14:paraId="00EC08CF" w14:textId="26D7CC60" w:rsidR="007B3BE3" w:rsidRPr="002F281E" w:rsidRDefault="007B3BE3" w:rsidP="003F4EE3">
      <w:pPr>
        <w:spacing w:after="120"/>
        <w:ind w:left="567" w:right="333"/>
        <w:jc w:val="both"/>
        <w:rPr>
          <w:rFonts w:ascii="Calibri" w:hAnsi="Calibri"/>
        </w:rPr>
      </w:pPr>
      <w:r w:rsidRPr="002F281E">
        <w:rPr>
          <w:rFonts w:ascii="Calibri" w:hAnsi="Calibri"/>
        </w:rPr>
        <w:t xml:space="preserve">Problems like these are, in some ways, the inescapable realities of historicizing the canon and relocating the history of political thought back into the push and pull of imperial/global politics. </w:t>
      </w:r>
    </w:p>
    <w:p w14:paraId="0463A123" w14:textId="77777777" w:rsidR="00740204" w:rsidRDefault="00740204" w:rsidP="003F4EE3">
      <w:pPr>
        <w:spacing w:after="120"/>
        <w:ind w:left="567" w:right="333"/>
        <w:jc w:val="both"/>
        <w:rPr>
          <w:rFonts w:ascii="Calibri" w:hAnsi="Calibri"/>
        </w:rPr>
      </w:pPr>
    </w:p>
    <w:p w14:paraId="7A1A9F53" w14:textId="7E7FB585" w:rsidR="007B3BE3" w:rsidRPr="002F281E" w:rsidRDefault="007B3BE3" w:rsidP="003F4EE3">
      <w:pPr>
        <w:spacing w:after="120"/>
        <w:ind w:left="567" w:right="333"/>
        <w:jc w:val="both"/>
        <w:rPr>
          <w:rFonts w:ascii="Calibri" w:hAnsi="Calibri"/>
        </w:rPr>
      </w:pPr>
      <w:r w:rsidRPr="002F281E">
        <w:rPr>
          <w:rFonts w:ascii="Calibri" w:hAnsi="Calibri"/>
        </w:rPr>
        <w:t>The challenge, as Said once put it in a reflection on British imperialism,  “is to keep in mind two ideas that are in many ways antithetical – the fact of the imperial divide, on the one hand, and the notion of shared experiences, on the other – without diminishing the force of either.”</w:t>
      </w:r>
      <w:r w:rsidRPr="002F281E">
        <w:rPr>
          <w:rStyle w:val="FootnoteReference"/>
          <w:rFonts w:ascii="Calibri" w:hAnsi="Calibri"/>
        </w:rPr>
        <w:footnoteReference w:id="12"/>
      </w:r>
    </w:p>
    <w:p w14:paraId="661334EF" w14:textId="4D4F836B" w:rsidR="00033D25" w:rsidRPr="00AB46B0" w:rsidRDefault="00033D25" w:rsidP="00DB16C5">
      <w:pPr>
        <w:spacing w:after="120"/>
        <w:ind w:left="567"/>
        <w:jc w:val="both"/>
        <w:rPr>
          <w:rFonts w:ascii="Calibri" w:hAnsi="Calibri" w:cs="Calibri"/>
          <w:sz w:val="23"/>
          <w:szCs w:val="23"/>
        </w:rPr>
      </w:pPr>
      <w:r w:rsidRPr="00AB46B0">
        <w:rPr>
          <w:rFonts w:ascii="Calibri" w:hAnsi="Calibri" w:cs="Calibri"/>
          <w:sz w:val="23"/>
          <w:szCs w:val="23"/>
        </w:rPr>
        <w:br w:type="page"/>
      </w:r>
    </w:p>
    <w:p w14:paraId="787731E4" w14:textId="77777777" w:rsidR="002F281E" w:rsidRPr="002F281E" w:rsidRDefault="00480075" w:rsidP="00E85D72">
      <w:pPr>
        <w:pStyle w:val="Heading2"/>
        <w:ind w:left="567"/>
        <w:rPr>
          <w:b/>
          <w:bCs/>
          <w:color w:val="588392"/>
          <w:sz w:val="30"/>
          <w:szCs w:val="30"/>
        </w:rPr>
      </w:pPr>
      <w:bookmarkStart w:id="23" w:name="_Toc50019548"/>
      <w:bookmarkStart w:id="24" w:name="_Toc49932073"/>
      <w:r w:rsidRPr="002F281E">
        <w:rPr>
          <w:b/>
          <w:bCs/>
          <w:color w:val="588392"/>
          <w:sz w:val="30"/>
          <w:szCs w:val="30"/>
        </w:rPr>
        <w:t>Pedagogical Reflections on Teaching IR beyond Western Perspectives</w:t>
      </w:r>
      <w:bookmarkEnd w:id="23"/>
      <w:r w:rsidR="008963F3" w:rsidRPr="002F281E">
        <w:rPr>
          <w:b/>
          <w:bCs/>
          <w:color w:val="588392"/>
          <w:sz w:val="30"/>
          <w:szCs w:val="30"/>
        </w:rPr>
        <w:t xml:space="preserve"> </w:t>
      </w:r>
    </w:p>
    <w:p w14:paraId="55A9DF87" w14:textId="10E7EFAA" w:rsidR="00E53F09" w:rsidRPr="002F281E" w:rsidRDefault="008963F3" w:rsidP="002F281E">
      <w:pPr>
        <w:pStyle w:val="Heading2"/>
        <w:spacing w:after="120"/>
        <w:ind w:left="567"/>
        <w:rPr>
          <w:rFonts w:ascii="Calibri" w:hAnsi="Calibri" w:cs="Calibri"/>
          <w:color w:val="588392"/>
          <w:sz w:val="28"/>
          <w:szCs w:val="28"/>
        </w:rPr>
      </w:pPr>
      <w:bookmarkStart w:id="25" w:name="_Toc50019549"/>
      <w:r w:rsidRPr="002F281E">
        <w:rPr>
          <w:color w:val="588392"/>
          <w:sz w:val="28"/>
          <w:szCs w:val="28"/>
        </w:rPr>
        <w:t>May Darwich</w:t>
      </w:r>
      <w:bookmarkEnd w:id="24"/>
      <w:bookmarkEnd w:id="25"/>
    </w:p>
    <w:p w14:paraId="657D8A9E" w14:textId="77777777" w:rsidR="002F281E" w:rsidRDefault="002F281E" w:rsidP="003F4EE3">
      <w:pPr>
        <w:autoSpaceDE w:val="0"/>
        <w:autoSpaceDN w:val="0"/>
        <w:adjustRightInd w:val="0"/>
        <w:spacing w:before="240" w:after="120"/>
        <w:ind w:left="567" w:right="333"/>
        <w:jc w:val="both"/>
        <w:rPr>
          <w:rFonts w:ascii="Calibri" w:hAnsi="Calibri" w:cs="Calibri"/>
          <w:color w:val="000000"/>
        </w:rPr>
      </w:pPr>
    </w:p>
    <w:p w14:paraId="176641B7" w14:textId="4703526A" w:rsidR="00480075" w:rsidRPr="002F281E" w:rsidRDefault="00480075" w:rsidP="003F4EE3">
      <w:pPr>
        <w:autoSpaceDE w:val="0"/>
        <w:autoSpaceDN w:val="0"/>
        <w:adjustRightInd w:val="0"/>
        <w:spacing w:before="240" w:after="120"/>
        <w:ind w:left="567" w:right="333"/>
        <w:jc w:val="both"/>
        <w:rPr>
          <w:rFonts w:ascii="Calibri" w:hAnsi="Calibri" w:cs="Calibri"/>
          <w:color w:val="000000"/>
        </w:rPr>
      </w:pPr>
      <w:r w:rsidRPr="002F281E">
        <w:rPr>
          <w:rFonts w:ascii="Calibri" w:hAnsi="Calibri" w:cs="Calibri"/>
          <w:color w:val="000000"/>
        </w:rPr>
        <w:t xml:space="preserve">Cox’s (1981) once stated how “theory is always for someone and for some purpose…(there) is no such thing as theory in itself divorced from a standpoint in time and space.” Cox’s remarks  combined with Hoffmann’s (1977) statement about how International Relations (IR) traditionally has been an “American Social Science” and Wæver’s (1998) counterclaim that “IR might be quite different in different places” have constituted the starting point for reflecting on how knowledge production within the IR discipline has been focused on a single story of the international (Jones 2006). While these debates have highlighted regional and national differences in knowledge production, less attention has been given to how these differences impact how these different perspectives in IR can be </w:t>
      </w:r>
      <w:r w:rsidRPr="002F281E">
        <w:rPr>
          <w:rFonts w:ascii="Calibri" w:hAnsi="Calibri" w:cs="Calibri"/>
          <w:i/>
          <w:color w:val="000000"/>
        </w:rPr>
        <w:t>taught</w:t>
      </w:r>
      <w:r w:rsidRPr="002F281E">
        <w:rPr>
          <w:rFonts w:ascii="Calibri" w:hAnsi="Calibri" w:cs="Calibri"/>
          <w:color w:val="000000"/>
        </w:rPr>
        <w:t xml:space="preserve">. </w:t>
      </w:r>
    </w:p>
    <w:p w14:paraId="48F3D83B" w14:textId="77777777" w:rsidR="00480075" w:rsidRPr="002F281E" w:rsidRDefault="00480075" w:rsidP="003F4EE3">
      <w:pPr>
        <w:autoSpaceDE w:val="0"/>
        <w:autoSpaceDN w:val="0"/>
        <w:adjustRightInd w:val="0"/>
        <w:spacing w:before="240" w:after="120"/>
        <w:ind w:left="567" w:right="333"/>
        <w:jc w:val="both"/>
        <w:rPr>
          <w:rFonts w:ascii="Calibri" w:hAnsi="Calibri" w:cs="Calibri"/>
          <w:color w:val="000000"/>
        </w:rPr>
      </w:pPr>
      <w:r w:rsidRPr="002F281E">
        <w:rPr>
          <w:rFonts w:ascii="Calibri" w:hAnsi="Calibri" w:cs="Calibri"/>
          <w:color w:val="000000"/>
        </w:rPr>
        <w:t>During the past two decades, growing scholarly knowledge on the Western origins of the IR discipline expanded and more scholars are increasingly interested in the experience of the Global South and the non-West. This literature seeks to (1) challenge the ‘universality’ of categories such as sovereignty, the state, security; (2) identify different non-Western concepts that reflect the histories and experiences of different world regions; and (3) how  knowledge production in international relations is affected by who we are and where we come from. While  it is clear that a “‘decolonization mood’ is permeating the IR discipline”, as Smith and Tickner (2020, 1) put it, and the fact that IR is different in different places is increasingly embraced in research, the question of how to teach IR in a truly ‘international’ way continues to pose considerable challenges.</w:t>
      </w:r>
    </w:p>
    <w:p w14:paraId="4DBB259A" w14:textId="77777777" w:rsidR="00480075" w:rsidRPr="002F281E" w:rsidRDefault="00480075" w:rsidP="003F4EE3">
      <w:pPr>
        <w:autoSpaceDE w:val="0"/>
        <w:autoSpaceDN w:val="0"/>
        <w:adjustRightInd w:val="0"/>
        <w:spacing w:before="240" w:after="120"/>
        <w:ind w:left="567" w:right="333"/>
        <w:jc w:val="both"/>
        <w:rPr>
          <w:rFonts w:ascii="Calibri" w:hAnsi="Calibri" w:cs="Calibri"/>
          <w:color w:val="000000"/>
        </w:rPr>
      </w:pPr>
      <w:r w:rsidRPr="002F281E">
        <w:rPr>
          <w:rFonts w:ascii="Calibri" w:hAnsi="Calibri" w:cs="Calibri"/>
          <w:color w:val="000000"/>
        </w:rPr>
        <w:t>IR textbooks predominantly present the story of international relations as one centred on Western and American realities of the world and presenting an image of a discipline revolving around the West in its theories, concepts, and methodology. As noted by Nossal (2001), the storyline of IR textbooks is that world politics cannot be understood unless the United States is at the centre. A long tradition exists in IR textbooks of focusing upon Western history in outlining the origin of the international system. Most of these refer to ancient Greece, Rome and European history, especially the Peace of Westphalia and continues up to the second World War (Grice 2015). They only begin to acknowledge non-Western regions during the 19</w:t>
      </w:r>
      <w:r w:rsidRPr="002F281E">
        <w:rPr>
          <w:rFonts w:ascii="Calibri" w:hAnsi="Calibri" w:cs="Calibri"/>
          <w:color w:val="000000"/>
          <w:vertAlign w:val="superscript"/>
        </w:rPr>
        <w:t>th</w:t>
      </w:r>
      <w:r w:rsidRPr="002F281E">
        <w:rPr>
          <w:rFonts w:ascii="Calibri" w:hAnsi="Calibri" w:cs="Calibri"/>
          <w:color w:val="000000"/>
        </w:rPr>
        <w:t xml:space="preserve"> and 20</w:t>
      </w:r>
      <w:r w:rsidRPr="002F281E">
        <w:rPr>
          <w:rFonts w:ascii="Calibri" w:hAnsi="Calibri" w:cs="Calibri"/>
          <w:color w:val="000000"/>
          <w:vertAlign w:val="superscript"/>
        </w:rPr>
        <w:t>th</w:t>
      </w:r>
      <w:r w:rsidRPr="002F281E">
        <w:rPr>
          <w:rFonts w:ascii="Calibri" w:hAnsi="Calibri" w:cs="Calibri"/>
          <w:color w:val="000000"/>
        </w:rPr>
        <w:t xml:space="preserve"> centuries, in the context of Western colonization, and rarely as actors with foreign policy or contribution to the international order (Tickner 2013). Textbooks often ignore the different perspectives of IR that developed in different regions of the world, and textbooks often reflect Western material and intellectual domination in IR.</w:t>
      </w:r>
    </w:p>
    <w:p w14:paraId="4C168879" w14:textId="77777777" w:rsidR="00745A26" w:rsidRDefault="00745A26">
      <w:pPr>
        <w:rPr>
          <w:rFonts w:ascii="Calibri" w:hAnsi="Calibri" w:cs="Calibri"/>
          <w:color w:val="000000" w:themeColor="text1"/>
        </w:rPr>
      </w:pPr>
      <w:r>
        <w:rPr>
          <w:rFonts w:ascii="Calibri" w:hAnsi="Calibri" w:cs="Calibri"/>
          <w:color w:val="000000" w:themeColor="text1"/>
        </w:rPr>
        <w:br w:type="page"/>
      </w:r>
    </w:p>
    <w:p w14:paraId="1F9E5A71" w14:textId="36790D98" w:rsidR="00480075" w:rsidRPr="002F281E" w:rsidRDefault="00480075" w:rsidP="003F4EE3">
      <w:pPr>
        <w:autoSpaceDE w:val="0"/>
        <w:autoSpaceDN w:val="0"/>
        <w:adjustRightInd w:val="0"/>
        <w:spacing w:before="240" w:after="120"/>
        <w:ind w:left="567" w:right="333"/>
        <w:jc w:val="both"/>
        <w:rPr>
          <w:rFonts w:ascii="Calibri" w:hAnsi="Calibri" w:cs="Calibri"/>
          <w:color w:val="000000" w:themeColor="text1"/>
        </w:rPr>
      </w:pPr>
      <w:r w:rsidRPr="002F281E">
        <w:rPr>
          <w:rFonts w:ascii="Calibri" w:hAnsi="Calibri" w:cs="Calibri"/>
          <w:color w:val="000000" w:themeColor="text1"/>
        </w:rPr>
        <w:t xml:space="preserve">We cannot challenge IR’s parochialism, let alone imperialism, and the historical contingency of much of its core concepts, without fully appreciating its mainstream theoretical and methodological assumptions. </w:t>
      </w:r>
      <w:r w:rsidRPr="002F281E">
        <w:rPr>
          <w:rFonts w:ascii="Calibri" w:hAnsi="Calibri" w:cs="Calibri"/>
          <w:color w:val="000000"/>
        </w:rPr>
        <w:t>Using textbooks remains essential to update students on the ‘state of the art’ and the debates within the discipline. These readings can be supplemented with other readings that offer alternative readings of key IR concepts. The aim is to make ‘Northern’ students more sensitive to why and how IR is different in different places and how the South experiences international relations differently. Southern students will encounter classroom discussions that speak more directly to them, with concepts and examples that are less distant, and which resonate with their own experiences and perspectives.</w:t>
      </w:r>
    </w:p>
    <w:p w14:paraId="19005E32" w14:textId="1906320E" w:rsidR="00480075" w:rsidRPr="002F281E" w:rsidRDefault="00480075" w:rsidP="003F4EE3">
      <w:pPr>
        <w:pStyle w:val="NormalWeb"/>
        <w:spacing w:before="240" w:beforeAutospacing="0" w:after="120" w:afterAutospacing="0"/>
        <w:ind w:left="567" w:right="333"/>
        <w:jc w:val="both"/>
        <w:rPr>
          <w:rFonts w:ascii="Calibri" w:eastAsiaTheme="minorHAnsi" w:hAnsi="Calibri" w:cs="Calibri"/>
          <w:color w:val="000000"/>
          <w:lang w:val="en-GB"/>
        </w:rPr>
      </w:pPr>
      <w:r w:rsidRPr="002F281E">
        <w:rPr>
          <w:rFonts w:ascii="Calibri" w:eastAsiaTheme="minorHAnsi" w:hAnsi="Calibri" w:cs="Calibri"/>
          <w:color w:val="000000"/>
          <w:lang w:val="en-GB"/>
        </w:rPr>
        <w:t xml:space="preserve">UG and PG students are often hungry for material that help them see the world from diverse points of view. Anyone teaching IR in the Global South or even when having students from the Global south, it becomes clear how the theories used to analyse world politics and the concepts are disconnected from the realities beyond the West. IR theories often lack the tools to explain events the Global South. But viewed from the Global South and through theories of critical and postcolonial IR, for example, many events often reflect the hierarchical structure of the global system and the imperial patterns of US foreign policy. </w:t>
      </w:r>
      <w:r w:rsidRPr="002F281E">
        <w:rPr>
          <w:rFonts w:ascii="Calibri" w:hAnsi="Calibri" w:cs="Calibri"/>
          <w:color w:val="000000"/>
          <w:lang w:val="en-GB"/>
        </w:rPr>
        <w:t>Also, students often reflect on how IR does not offer a rich view of the international due to a single storyline in defining the topics and the subjects that matter. In my teaching, I encourage students to learn mainstream approaches within the discipline but also be critical of their validity beyond Western contexts. I include examples and issues in international relations that transcend the Western focus. I ask them to reflect on the concept of state, sovereignty, and security to see whether the same concept</w:t>
      </w:r>
      <w:r w:rsidR="00344439">
        <w:rPr>
          <w:rFonts w:ascii="Calibri" w:hAnsi="Calibri" w:cs="Calibri"/>
          <w:color w:val="000000"/>
          <w:lang w:val="en-GB"/>
        </w:rPr>
        <w:t>s</w:t>
      </w:r>
      <w:r w:rsidRPr="002F281E">
        <w:rPr>
          <w:rFonts w:ascii="Calibri" w:hAnsi="Calibri" w:cs="Calibri"/>
          <w:color w:val="000000"/>
          <w:lang w:val="en-GB"/>
        </w:rPr>
        <w:t xml:space="preserve"> reflect realities in different regions. </w:t>
      </w:r>
    </w:p>
    <w:p w14:paraId="3E2A6008" w14:textId="17CF7A44" w:rsidR="00480075" w:rsidRDefault="00480075" w:rsidP="003F4EE3">
      <w:pPr>
        <w:autoSpaceDE w:val="0"/>
        <w:autoSpaceDN w:val="0"/>
        <w:adjustRightInd w:val="0"/>
        <w:spacing w:before="240" w:after="120"/>
        <w:ind w:left="567" w:right="333"/>
        <w:jc w:val="both"/>
        <w:rPr>
          <w:rFonts w:ascii="Calibri" w:hAnsi="Calibri" w:cs="Calibri"/>
          <w:color w:val="000000"/>
        </w:rPr>
      </w:pPr>
    </w:p>
    <w:p w14:paraId="3C8DFC52" w14:textId="141CCDD5" w:rsidR="00AE3591" w:rsidRDefault="00AE3591" w:rsidP="003F4EE3">
      <w:pPr>
        <w:autoSpaceDE w:val="0"/>
        <w:autoSpaceDN w:val="0"/>
        <w:adjustRightInd w:val="0"/>
        <w:spacing w:before="240" w:after="120"/>
        <w:ind w:left="567" w:right="333"/>
        <w:jc w:val="both"/>
        <w:rPr>
          <w:rFonts w:ascii="Calibri" w:hAnsi="Calibri" w:cs="Calibri"/>
          <w:color w:val="000000"/>
        </w:rPr>
      </w:pPr>
      <w:r w:rsidRPr="00AE3591">
        <w:rPr>
          <w:rFonts w:ascii="Times New Roman" w:eastAsia="Times New Roman" w:hAnsi="Times New Roman" w:cs="Times New Roman"/>
          <w:noProof/>
          <w:lang w:eastAsia="en-GB"/>
        </w:rPr>
        <w:drawing>
          <wp:anchor distT="0" distB="0" distL="114300" distR="114300" simplePos="0" relativeHeight="251679744" behindDoc="1" locked="0" layoutInCell="1" allowOverlap="1" wp14:anchorId="27F2B397" wp14:editId="3C3BFB3F">
            <wp:simplePos x="0" y="0"/>
            <wp:positionH relativeFrom="column">
              <wp:posOffset>-702945</wp:posOffset>
            </wp:positionH>
            <wp:positionV relativeFrom="paragraph">
              <wp:posOffset>271036</wp:posOffset>
            </wp:positionV>
            <wp:extent cx="7746365" cy="3358515"/>
            <wp:effectExtent l="0" t="0" r="635" b="0"/>
            <wp:wrapNone/>
            <wp:docPr id="19" name="Picture 19" descr="Chevening 2015-16 Scholars (Lea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vening 2015-16 Scholars (Leaver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46365" cy="335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0764F" w14:textId="42AA2366" w:rsidR="00AE3591" w:rsidRPr="00AE3591" w:rsidRDefault="00AE3591" w:rsidP="00AE3591">
      <w:pPr>
        <w:rPr>
          <w:rFonts w:ascii="Times New Roman" w:eastAsia="Times New Roman" w:hAnsi="Times New Roman" w:cs="Times New Roman"/>
          <w:lang w:eastAsia="en-GB"/>
        </w:rPr>
      </w:pPr>
      <w:r w:rsidRPr="00AE3591">
        <w:rPr>
          <w:rFonts w:ascii="Times New Roman" w:eastAsia="Times New Roman" w:hAnsi="Times New Roman" w:cs="Times New Roman"/>
          <w:lang w:eastAsia="en-GB"/>
        </w:rPr>
        <w:fldChar w:fldCharType="begin"/>
      </w:r>
      <w:r w:rsidRPr="00AE3591">
        <w:rPr>
          <w:rFonts w:ascii="Times New Roman" w:eastAsia="Times New Roman" w:hAnsi="Times New Roman" w:cs="Times New Roman"/>
          <w:lang w:eastAsia="en-GB"/>
        </w:rPr>
        <w:instrText xml:space="preserve"> INCLUDEPICTURE "/var/folders/mk/9lx661cs1yj2prl2gpvw69_80000gn/T/com.microsoft.Word/WebArchiveCopyPasteTempFiles/Chevening-2015-16-Scholars-V3.png" \* MERGEFORMATINET </w:instrText>
      </w:r>
      <w:r w:rsidRPr="00AE3591">
        <w:rPr>
          <w:rFonts w:ascii="Times New Roman" w:eastAsia="Times New Roman" w:hAnsi="Times New Roman" w:cs="Times New Roman"/>
          <w:lang w:eastAsia="en-GB"/>
        </w:rPr>
        <w:fldChar w:fldCharType="end"/>
      </w:r>
    </w:p>
    <w:p w14:paraId="0F6477A8" w14:textId="77777777" w:rsidR="00AE3591" w:rsidRPr="002F281E" w:rsidRDefault="00AE3591" w:rsidP="003F4EE3">
      <w:pPr>
        <w:autoSpaceDE w:val="0"/>
        <w:autoSpaceDN w:val="0"/>
        <w:adjustRightInd w:val="0"/>
        <w:spacing w:before="240" w:after="120"/>
        <w:ind w:left="567" w:right="333"/>
        <w:jc w:val="both"/>
        <w:rPr>
          <w:rFonts w:ascii="Calibri" w:hAnsi="Calibri" w:cs="Calibri"/>
          <w:color w:val="000000"/>
        </w:rPr>
      </w:pPr>
    </w:p>
    <w:p w14:paraId="7A653319" w14:textId="77777777" w:rsidR="00480075" w:rsidRPr="00AB46B0" w:rsidRDefault="00480075" w:rsidP="00DB16C5">
      <w:pPr>
        <w:spacing w:after="120"/>
        <w:ind w:left="567"/>
        <w:rPr>
          <w:rFonts w:ascii="Calibri" w:hAnsi="Calibri" w:cs="Calibri"/>
          <w:bCs/>
          <w:sz w:val="23"/>
          <w:szCs w:val="23"/>
        </w:rPr>
      </w:pPr>
    </w:p>
    <w:p w14:paraId="3C637375" w14:textId="18AF1D89" w:rsidR="00480075" w:rsidRPr="00AB46B0" w:rsidRDefault="00480075" w:rsidP="00DB16C5">
      <w:pPr>
        <w:ind w:left="567"/>
        <w:rPr>
          <w:rFonts w:ascii="Calibri" w:hAnsi="Calibri" w:cs="Calibri"/>
          <w:b/>
          <w:bCs/>
          <w:sz w:val="22"/>
          <w:szCs w:val="22"/>
        </w:rPr>
      </w:pPr>
    </w:p>
    <w:p w14:paraId="110CC453" w14:textId="25D45572" w:rsidR="00365BBA" w:rsidRPr="00AB46B0" w:rsidRDefault="00480075" w:rsidP="00DB16C5">
      <w:pPr>
        <w:ind w:left="567"/>
        <w:rPr>
          <w:rFonts w:ascii="Calibri" w:hAnsi="Calibri" w:cs="Calibri"/>
          <w:b/>
          <w:bCs/>
          <w:sz w:val="22"/>
          <w:szCs w:val="22"/>
        </w:rPr>
      </w:pPr>
      <w:r w:rsidRPr="00AB46B0">
        <w:rPr>
          <w:rFonts w:ascii="Calibri" w:hAnsi="Calibri" w:cs="Calibri"/>
          <w:b/>
          <w:bCs/>
          <w:sz w:val="22"/>
          <w:szCs w:val="22"/>
        </w:rPr>
        <w:br w:type="page"/>
      </w:r>
      <w:r w:rsidR="00365BBA" w:rsidRPr="00AB46B0">
        <w:rPr>
          <w:rFonts w:ascii="Calibri" w:hAnsi="Calibri" w:cs="Calibri"/>
          <w:b/>
          <w:bCs/>
          <w:noProof/>
          <w:sz w:val="23"/>
          <w:szCs w:val="23"/>
          <w:lang w:eastAsia="en-GB"/>
        </w:rPr>
        <mc:AlternateContent>
          <mc:Choice Requires="wps">
            <w:drawing>
              <wp:anchor distT="0" distB="0" distL="114300" distR="114300" simplePos="0" relativeHeight="251661312" behindDoc="0" locked="0" layoutInCell="1" allowOverlap="1" wp14:anchorId="6B45D0A2" wp14:editId="2F7C8D0D">
                <wp:simplePos x="0" y="0"/>
                <wp:positionH relativeFrom="column">
                  <wp:posOffset>53340</wp:posOffset>
                </wp:positionH>
                <wp:positionV relativeFrom="paragraph">
                  <wp:posOffset>-946038</wp:posOffset>
                </wp:positionV>
                <wp:extent cx="6209881" cy="8671727"/>
                <wp:effectExtent l="0" t="0" r="13335" b="15240"/>
                <wp:wrapNone/>
                <wp:docPr id="5" name="Text Box 5"/>
                <wp:cNvGraphicFramePr/>
                <a:graphic xmlns:a="http://schemas.openxmlformats.org/drawingml/2006/main">
                  <a:graphicData uri="http://schemas.microsoft.com/office/word/2010/wordprocessingShape">
                    <wps:wsp>
                      <wps:cNvSpPr txBox="1"/>
                      <wps:spPr>
                        <a:xfrm>
                          <a:off x="0" y="0"/>
                          <a:ext cx="6209881" cy="8671727"/>
                        </a:xfrm>
                        <a:prstGeom prst="rect">
                          <a:avLst/>
                        </a:prstGeom>
                        <a:solidFill>
                          <a:schemeClr val="bg1">
                            <a:lumMod val="95000"/>
                          </a:schemeClr>
                        </a:solidFill>
                        <a:ln w="6350">
                          <a:solidFill>
                            <a:prstClr val="black"/>
                          </a:solidFill>
                        </a:ln>
                      </wps:spPr>
                      <wps:txbx>
                        <w:txbxContent>
                          <w:p w14:paraId="78C5D112" w14:textId="24A320CE" w:rsidR="00A70BD8" w:rsidRPr="002F281E" w:rsidRDefault="00A70BD8" w:rsidP="005D552D">
                            <w:pPr>
                              <w:pStyle w:val="Heading2"/>
                              <w:jc w:val="center"/>
                              <w:rPr>
                                <w:b/>
                                <w:bCs/>
                                <w:color w:val="588392"/>
                                <w:sz w:val="30"/>
                                <w:szCs w:val="30"/>
                              </w:rPr>
                            </w:pPr>
                            <w:bookmarkStart w:id="26" w:name="_Toc50019550"/>
                            <w:bookmarkStart w:id="27" w:name="_Toc49932074"/>
                            <w:r w:rsidRPr="002F281E">
                              <w:rPr>
                                <w:b/>
                                <w:bCs/>
                                <w:color w:val="588392"/>
                                <w:sz w:val="30"/>
                                <w:szCs w:val="30"/>
                              </w:rPr>
                              <w:t>Decolonising Teaching</w:t>
                            </w:r>
                            <w:r>
                              <w:rPr>
                                <w:b/>
                                <w:bCs/>
                                <w:color w:val="588392"/>
                                <w:sz w:val="30"/>
                                <w:szCs w:val="30"/>
                              </w:rPr>
                              <w:t xml:space="preserve"> o</w:t>
                            </w:r>
                            <w:r w:rsidRPr="002F281E">
                              <w:rPr>
                                <w:b/>
                                <w:bCs/>
                                <w:color w:val="588392"/>
                                <w:sz w:val="30"/>
                                <w:szCs w:val="30"/>
                              </w:rPr>
                              <w:t>n Conflict</w:t>
                            </w:r>
                            <w:bookmarkEnd w:id="26"/>
                            <w:r w:rsidRPr="002F281E">
                              <w:rPr>
                                <w:b/>
                                <w:bCs/>
                                <w:color w:val="588392"/>
                                <w:sz w:val="30"/>
                                <w:szCs w:val="30"/>
                              </w:rPr>
                              <w:t xml:space="preserve"> </w:t>
                            </w:r>
                          </w:p>
                          <w:p w14:paraId="0048832C" w14:textId="17DCB196" w:rsidR="00A70BD8" w:rsidRPr="002F281E" w:rsidRDefault="00A70BD8" w:rsidP="005D552D">
                            <w:pPr>
                              <w:pStyle w:val="Heading2"/>
                              <w:jc w:val="center"/>
                              <w:rPr>
                                <w:color w:val="588392"/>
                                <w:sz w:val="28"/>
                                <w:szCs w:val="28"/>
                              </w:rPr>
                            </w:pPr>
                            <w:bookmarkStart w:id="28" w:name="_Toc50019551"/>
                            <w:r w:rsidRPr="002F281E">
                              <w:rPr>
                                <w:color w:val="588392"/>
                                <w:sz w:val="28"/>
                                <w:szCs w:val="28"/>
                              </w:rPr>
                              <w:t>Giuditta Fontana</w:t>
                            </w:r>
                            <w:bookmarkEnd w:id="27"/>
                            <w:bookmarkEnd w:id="28"/>
                          </w:p>
                          <w:p w14:paraId="5944FAB0" w14:textId="77777777" w:rsidR="00A70BD8" w:rsidRDefault="00A70BD8" w:rsidP="00365BBA">
                            <w:pPr>
                              <w:spacing w:after="120"/>
                              <w:jc w:val="both"/>
                              <w:rPr>
                                <w:rFonts w:ascii="Calibri" w:hAnsi="Calibri" w:cs="Calibri"/>
                                <w:color w:val="000000" w:themeColor="text1"/>
                                <w:sz w:val="22"/>
                                <w:szCs w:val="22"/>
                              </w:rPr>
                            </w:pPr>
                          </w:p>
                          <w:p w14:paraId="61D20BDC" w14:textId="6A0733DA" w:rsidR="00A70BD8" w:rsidRDefault="00A70BD8" w:rsidP="00365BBA">
                            <w:pPr>
                              <w:spacing w:after="120"/>
                              <w:jc w:val="both"/>
                              <w:rPr>
                                <w:rFonts w:ascii="Calibri" w:hAnsi="Calibri" w:cs="Calibri"/>
                                <w:color w:val="000000" w:themeColor="text1"/>
                                <w:sz w:val="23"/>
                                <w:szCs w:val="23"/>
                              </w:rPr>
                            </w:pPr>
                            <w:r w:rsidRPr="00365BBA">
                              <w:rPr>
                                <w:rFonts w:ascii="Calibri" w:hAnsi="Calibri" w:cs="Calibri"/>
                                <w:color w:val="000000" w:themeColor="text1"/>
                                <w:sz w:val="23"/>
                                <w:szCs w:val="23"/>
                              </w:rPr>
                              <w:t>Having spent the past decade researching education in conflict-affected contexts, I am deeply conscious of the ways in which schools and universities implicitly and explicitly reflect, reproduce and legitimise wider power structures through their curricula and the wider context of learning. Even where societies move beyond conflict and marginalisation, educational institutions often continue reproducing past narratives and assumptions. Instead of spearheading progressive change, institutional inertia often means that curricula and teaching practices lag behind.</w:t>
                            </w:r>
                            <w:r>
                              <w:rPr>
                                <w:rFonts w:ascii="Calibri" w:hAnsi="Calibri" w:cs="Calibri"/>
                                <w:color w:val="000000" w:themeColor="text1"/>
                                <w:sz w:val="23"/>
                                <w:szCs w:val="23"/>
                              </w:rPr>
                              <w:t xml:space="preserve"> </w:t>
                            </w:r>
                            <w:r w:rsidRPr="00365BBA">
                              <w:rPr>
                                <w:rFonts w:ascii="Calibri" w:hAnsi="Calibri" w:cs="Calibri"/>
                                <w:color w:val="000000" w:themeColor="text1"/>
                                <w:sz w:val="23"/>
                                <w:szCs w:val="23"/>
                              </w:rPr>
                              <w:t xml:space="preserve">I see the ‘decolonising’ agenda as a collective effort to ensure that our teaching empowers individuals and groups and recognises their unique contribution to society rather than hampering the progress of previously marginalised ethnic, racial, gender and sexual groups. </w:t>
                            </w:r>
                          </w:p>
                          <w:p w14:paraId="04845EB0" w14:textId="6A2D5E39" w:rsidR="00A70BD8" w:rsidRPr="00365BBA" w:rsidRDefault="00A70BD8" w:rsidP="00365BBA">
                            <w:pPr>
                              <w:spacing w:after="120"/>
                              <w:jc w:val="both"/>
                              <w:rPr>
                                <w:rFonts w:ascii="Calibri" w:hAnsi="Calibri" w:cs="Calibri"/>
                                <w:color w:val="000000" w:themeColor="text1"/>
                                <w:sz w:val="23"/>
                                <w:szCs w:val="23"/>
                              </w:rPr>
                            </w:pPr>
                            <w:r w:rsidRPr="00365BBA">
                              <w:rPr>
                                <w:rFonts w:ascii="Calibri" w:hAnsi="Calibri" w:cs="Calibri"/>
                                <w:color w:val="000000" w:themeColor="text1"/>
                                <w:sz w:val="23"/>
                                <w:szCs w:val="23"/>
                              </w:rPr>
                              <w:t xml:space="preserve">First, I believe that including voices and experiences from a variety of backgrounds into my reading lists and teaching material helps persuade students that they can contribute to scholarship and even effect political change (Freire, 1993: 61, 105). Therefore, I am mindful of ensuring a broad representation of scholars in my reading lists, with a focus on </w:t>
                            </w:r>
                            <w:r w:rsidRPr="00365BBA">
                              <w:rPr>
                                <w:rFonts w:ascii="Calibri" w:eastAsia="Times New Roman" w:hAnsi="Calibri" w:cs="Calibri"/>
                                <w:color w:val="000000" w:themeColor="text1"/>
                                <w:sz w:val="23"/>
                                <w:szCs w:val="23"/>
                              </w:rPr>
                              <w:t>increasing the number of non-Western and non-male authors while at the same time exposing the students to the key texts in conflict studies. To do so, I created a list of key theoretical readings (often written by male US-based authors) and a list of case-based readings (whose authors are often from the Global South and not male). Each week, I asked students to choose one reading from each list, ensuring that they gain exposure both to key theoretical texts and to a variety of non-traditional, more critical and cutting-edge perspectives and voices. I found a puzzling gap in the IR-conflict field as concerns resources for more diverse curricula (</w:t>
                            </w:r>
                            <w:hyperlink r:id="rId39" w:history="1">
                              <w:r w:rsidRPr="00365BBA">
                                <w:rPr>
                                  <w:rStyle w:val="Hyperlink"/>
                                  <w:rFonts w:ascii="Calibri" w:hAnsi="Calibri" w:cs="Calibri"/>
                                  <w:sz w:val="23"/>
                                  <w:szCs w:val="23"/>
                                </w:rPr>
                                <w:t>https://thealternativereadinglistproject.wordpress.com/</w:t>
                              </w:r>
                            </w:hyperlink>
                            <w:r w:rsidRPr="00365BBA">
                              <w:rPr>
                                <w:rFonts w:ascii="Calibri" w:eastAsia="Times New Roman" w:hAnsi="Calibri" w:cs="Calibri"/>
                                <w:color w:val="000000" w:themeColor="text1"/>
                                <w:sz w:val="23"/>
                                <w:szCs w:val="23"/>
                              </w:rPr>
                              <w:t>), with</w:t>
                            </w:r>
                            <w:r>
                              <w:rPr>
                                <w:rFonts w:ascii="Calibri" w:eastAsia="Times New Roman" w:hAnsi="Calibri" w:cs="Calibri"/>
                                <w:color w:val="000000" w:themeColor="text1"/>
                                <w:sz w:val="23"/>
                                <w:szCs w:val="23"/>
                              </w:rPr>
                              <w:t xml:space="preserve"> the African Politics Reading </w:t>
                            </w:r>
                            <w:r w:rsidRPr="00365BBA">
                              <w:rPr>
                                <w:rFonts w:ascii="Calibri" w:eastAsia="Times New Roman" w:hAnsi="Calibri" w:cs="Calibri"/>
                                <w:color w:val="000000" w:themeColor="text1"/>
                                <w:sz w:val="23"/>
                                <w:szCs w:val="23"/>
                              </w:rPr>
                              <w:t>(</w:t>
                            </w:r>
                            <w:hyperlink r:id="rId40" w:history="1">
                              <w:r w:rsidRPr="00365BBA">
                                <w:rPr>
                                  <w:rStyle w:val="Hyperlink"/>
                                  <w:rFonts w:ascii="Calibri" w:hAnsi="Calibri" w:cs="Calibri"/>
                                  <w:color w:val="000000" w:themeColor="text1"/>
                                  <w:sz w:val="23"/>
                                  <w:szCs w:val="23"/>
                                </w:rPr>
                                <w:t>http://democracyinafrica.org/decolonizing-the-university-the-african-politics-reading-list/</w:t>
                              </w:r>
                            </w:hyperlink>
                            <w:r w:rsidRPr="00365BBA">
                              <w:rPr>
                                <w:rFonts w:ascii="Calibri" w:eastAsia="Times New Roman" w:hAnsi="Calibri" w:cs="Calibri"/>
                                <w:color w:val="000000" w:themeColor="text1"/>
                                <w:sz w:val="23"/>
                                <w:szCs w:val="23"/>
                              </w:rPr>
                              <w:t>)</w:t>
                            </w:r>
                            <w:r>
                              <w:rPr>
                                <w:rFonts w:ascii="Calibri" w:eastAsia="Times New Roman" w:hAnsi="Calibri" w:cs="Calibri"/>
                                <w:color w:val="000000" w:themeColor="text1"/>
                                <w:sz w:val="23"/>
                                <w:szCs w:val="23"/>
                              </w:rPr>
                              <w:t xml:space="preserve"> </w:t>
                            </w:r>
                            <w:r w:rsidRPr="00365BBA">
                              <w:rPr>
                                <w:rFonts w:ascii="Calibri" w:eastAsia="Times New Roman" w:hAnsi="Calibri" w:cs="Calibri"/>
                                <w:color w:val="000000" w:themeColor="text1"/>
                                <w:sz w:val="23"/>
                                <w:szCs w:val="23"/>
                              </w:rPr>
                              <w:t xml:space="preserve">a welcome exception. </w:t>
                            </w:r>
                          </w:p>
                          <w:p w14:paraId="097B865A" w14:textId="3A53610A" w:rsidR="00A70BD8" w:rsidRPr="002F281E" w:rsidRDefault="00A70BD8" w:rsidP="002F281E">
                            <w:pPr>
                              <w:spacing w:after="120"/>
                              <w:jc w:val="both"/>
                              <w:rPr>
                                <w:rFonts w:ascii="Calibri" w:eastAsia="Times New Roman" w:hAnsi="Calibri" w:cs="Calibri"/>
                                <w:color w:val="000000" w:themeColor="text1"/>
                                <w:sz w:val="23"/>
                                <w:szCs w:val="23"/>
                              </w:rPr>
                            </w:pPr>
                            <w:r w:rsidRPr="00365BBA">
                              <w:rPr>
                                <w:rFonts w:ascii="Calibri" w:hAnsi="Calibri" w:cs="Calibri"/>
                                <w:color w:val="000000" w:themeColor="text1"/>
                                <w:sz w:val="23"/>
                                <w:szCs w:val="23"/>
                              </w:rPr>
                              <w:t xml:space="preserve">Second, over the years I have heard repeated arguments that decolonising our teaching comes at the expenses of learning and quality education. I believe it is important to underline that educational research is clear that this is not the case: learning only occurs when students are interested in the subject matter and care about it (Murphy Paul, 2013). Linking the subject material to students’ background and past experience has been shown to improve achievement </w:t>
                            </w:r>
                            <w:r w:rsidRPr="00B1316F">
                              <w:rPr>
                                <w:rFonts w:ascii="Calibri" w:hAnsi="Calibri" w:cs="Calibri"/>
                                <w:bCs/>
                                <w:color w:val="000000" w:themeColor="text1"/>
                                <w:sz w:val="23"/>
                                <w:szCs w:val="23"/>
                              </w:rPr>
                              <w:t>(</w:t>
                            </w:r>
                            <w:r w:rsidRPr="00365BBA">
                              <w:rPr>
                                <w:rFonts w:ascii="Calibri" w:eastAsia="Times New Roman" w:hAnsi="Calibri" w:cs="Calibri"/>
                                <w:color w:val="000000" w:themeColor="text1"/>
                                <w:sz w:val="23"/>
                                <w:szCs w:val="23"/>
                              </w:rPr>
                              <w:t>Harackiewicz and Hulleman, 2010</w:t>
                            </w:r>
                            <w:r w:rsidRPr="00B1316F">
                              <w:rPr>
                                <w:rFonts w:ascii="Calibri" w:hAnsi="Calibri" w:cs="Calibri"/>
                                <w:bCs/>
                                <w:color w:val="000000" w:themeColor="text1"/>
                                <w:sz w:val="23"/>
                                <w:szCs w:val="23"/>
                              </w:rPr>
                              <w:t>)</w:t>
                            </w:r>
                            <w:r w:rsidRPr="00365BBA">
                              <w:rPr>
                                <w:rFonts w:ascii="Calibri" w:hAnsi="Calibri" w:cs="Calibri"/>
                                <w:color w:val="000000" w:themeColor="text1"/>
                                <w:sz w:val="23"/>
                                <w:szCs w:val="23"/>
                              </w:rPr>
                              <w:t xml:space="preserve">. If we are serious about narrowing the BAME and gender gap, incorporating and valuing students’ visible and invisible identities and backgrounds is essential. I try to do this in three, very simple ways. First, I try to make the diversity of role models visible: I often include pictures and videos of scholars or peacemakers in my lectures and seminar slides. This helps me draw attention to their diverse backgrounds and identities, and how this contributed to their original perspectives. This approach has been pioneered in STEM subjects (see, for example, </w:t>
                            </w:r>
                            <w:hyperlink r:id="rId41" w:history="1">
                              <w:r w:rsidRPr="00365BBA">
                                <w:rPr>
                                  <w:rStyle w:val="Hyperlink"/>
                                  <w:rFonts w:ascii="Calibri" w:hAnsi="Calibri" w:cs="Calibri"/>
                                  <w:sz w:val="23"/>
                                  <w:szCs w:val="23"/>
                                </w:rPr>
                                <w:t>http://stemteachingtools.org/assets/landscapes/STEM-Teaching-Tool-55-Making-Diversity-Visible-in-STEM.pdf</w:t>
                              </w:r>
                            </w:hyperlink>
                            <w:r w:rsidRPr="00365BBA">
                              <w:rPr>
                                <w:rFonts w:ascii="Calibri" w:hAnsi="Calibri" w:cs="Calibri"/>
                                <w:color w:val="000000" w:themeColor="text1"/>
                                <w:sz w:val="23"/>
                                <w:szCs w:val="23"/>
                              </w:rPr>
                              <w:t xml:space="preserve"> ). Second, I elicit students’ previous experiences and knowledge as a ‘hook’ for seminars and lectures, linking the dynamics and challenges of their everyday lives (related with racism, marginalisation etc…) to the experience of violent conflict elsewhere. Third, I provide choice in their learning. For example, I offer a choice of multiple case studies in different continents for each seminar, allowing students to pick topics which resonate with their interests and experiences. I have found that, beyond challenging curricular inertia, these simple techniques stimulate interest and care for the learning material among the majority of students and encourage them to view themselves as potentially contributing to scholarship and policy-making, which I believe is the core aim any IR and politics </w:t>
                            </w:r>
                            <w:r>
                              <w:rPr>
                                <w:rFonts w:ascii="Calibri" w:hAnsi="Calibri" w:cs="Calibri"/>
                                <w:color w:val="000000" w:themeColor="text1"/>
                                <w:sz w:val="23"/>
                                <w:szCs w:val="23"/>
                              </w:rPr>
                              <w:t>degree.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45D0A2" id="Text Box 5" o:spid="_x0000_s1027" type="#_x0000_t202" style="position:absolute;left:0;text-align:left;margin-left:4.2pt;margin-top:-74.5pt;width:488.95pt;height:68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" fillcolor="#f2f2f2 [3052]" strokeweight=".5pt">
                <v:textbox>
                  <w:txbxContent>
                    <w:p w14:paraId="78C5D112" w14:textId="24A320CE" w:rsidR="00A70BD8" w:rsidRPr="002F281E" w:rsidRDefault="00A70BD8" w:rsidP="005D552D">
                      <w:pPr>
                        <w:pStyle w:val="Heading2"/>
                        <w:jc w:val="center"/>
                        <w:rPr>
                          <w:b/>
                          <w:bCs/>
                          <w:color w:val="588392"/>
                          <w:sz w:val="30"/>
                          <w:szCs w:val="30"/>
                        </w:rPr>
                      </w:pPr>
                      <w:bookmarkStart w:id="31" w:name="_Toc50019550"/>
                      <w:bookmarkStart w:id="32" w:name="_Toc49932074"/>
                      <w:r w:rsidRPr="002F281E">
                        <w:rPr>
                          <w:b/>
                          <w:bCs/>
                          <w:color w:val="588392"/>
                          <w:sz w:val="30"/>
                          <w:szCs w:val="30"/>
                        </w:rPr>
                        <w:t>Decolonising Teaching</w:t>
                      </w:r>
                      <w:r>
                        <w:rPr>
                          <w:b/>
                          <w:bCs/>
                          <w:color w:val="588392"/>
                          <w:sz w:val="30"/>
                          <w:szCs w:val="30"/>
                        </w:rPr>
                        <w:t xml:space="preserve"> o</w:t>
                      </w:r>
                      <w:r w:rsidRPr="002F281E">
                        <w:rPr>
                          <w:b/>
                          <w:bCs/>
                          <w:color w:val="588392"/>
                          <w:sz w:val="30"/>
                          <w:szCs w:val="30"/>
                        </w:rPr>
                        <w:t>n Conflict</w:t>
                      </w:r>
                      <w:bookmarkEnd w:id="31"/>
                      <w:r w:rsidRPr="002F281E">
                        <w:rPr>
                          <w:b/>
                          <w:bCs/>
                          <w:color w:val="588392"/>
                          <w:sz w:val="30"/>
                          <w:szCs w:val="30"/>
                        </w:rPr>
                        <w:t xml:space="preserve"> </w:t>
                      </w:r>
                    </w:p>
                    <w:p w14:paraId="0048832C" w14:textId="17DCB196" w:rsidR="00A70BD8" w:rsidRPr="002F281E" w:rsidRDefault="00A70BD8" w:rsidP="005D552D">
                      <w:pPr>
                        <w:pStyle w:val="Heading2"/>
                        <w:jc w:val="center"/>
                        <w:rPr>
                          <w:color w:val="588392"/>
                          <w:sz w:val="28"/>
                          <w:szCs w:val="28"/>
                        </w:rPr>
                      </w:pPr>
                      <w:bookmarkStart w:id="33" w:name="_Toc50019551"/>
                      <w:proofErr w:type="spellStart"/>
                      <w:r w:rsidRPr="002F281E">
                        <w:rPr>
                          <w:color w:val="588392"/>
                          <w:sz w:val="28"/>
                          <w:szCs w:val="28"/>
                        </w:rPr>
                        <w:t>Giuditta</w:t>
                      </w:r>
                      <w:proofErr w:type="spellEnd"/>
                      <w:r w:rsidRPr="002F281E">
                        <w:rPr>
                          <w:color w:val="588392"/>
                          <w:sz w:val="28"/>
                          <w:szCs w:val="28"/>
                        </w:rPr>
                        <w:t xml:space="preserve"> Fontana</w:t>
                      </w:r>
                      <w:bookmarkEnd w:id="32"/>
                      <w:bookmarkEnd w:id="33"/>
                    </w:p>
                    <w:p w14:paraId="5944FAB0" w14:textId="77777777" w:rsidR="00A70BD8" w:rsidRDefault="00A70BD8" w:rsidP="00365BBA">
                      <w:pPr>
                        <w:spacing w:after="120"/>
                        <w:jc w:val="both"/>
                        <w:rPr>
                          <w:rFonts w:ascii="Calibri" w:hAnsi="Calibri" w:cs="Calibri"/>
                          <w:color w:val="000000" w:themeColor="text1"/>
                          <w:sz w:val="22"/>
                          <w:szCs w:val="22"/>
                        </w:rPr>
                      </w:pPr>
                    </w:p>
                    <w:p w14:paraId="61D20BDC" w14:textId="6A0733DA" w:rsidR="00A70BD8" w:rsidRDefault="00A70BD8" w:rsidP="00365BBA">
                      <w:pPr>
                        <w:spacing w:after="120"/>
                        <w:jc w:val="both"/>
                        <w:rPr>
                          <w:rFonts w:ascii="Calibri" w:hAnsi="Calibri" w:cs="Calibri"/>
                          <w:color w:val="000000" w:themeColor="text1"/>
                          <w:sz w:val="23"/>
                          <w:szCs w:val="23"/>
                        </w:rPr>
                      </w:pPr>
                      <w:r w:rsidRPr="00365BBA">
                        <w:rPr>
                          <w:rFonts w:ascii="Calibri" w:hAnsi="Calibri" w:cs="Calibri"/>
                          <w:color w:val="000000" w:themeColor="text1"/>
                          <w:sz w:val="23"/>
                          <w:szCs w:val="23"/>
                        </w:rPr>
                        <w:t>Having spent the past decade researching education in conflict-affected contexts, I am deeply conscious of the ways in which schools and universities implicitly and explicitly reflect, reproduce and legitimise wider power structures through their curricula and the wider context of learning. Even where societies move beyond conflict and marginalisation, educational institutions often continue reproducing past narratives and assumptions. Instead of spearheading progressive change, institutional inertia often means that curricula and teaching practices lag behind.</w:t>
                      </w:r>
                      <w:r>
                        <w:rPr>
                          <w:rFonts w:ascii="Calibri" w:hAnsi="Calibri" w:cs="Calibri"/>
                          <w:color w:val="000000" w:themeColor="text1"/>
                          <w:sz w:val="23"/>
                          <w:szCs w:val="23"/>
                        </w:rPr>
                        <w:t xml:space="preserve"> </w:t>
                      </w:r>
                      <w:r w:rsidRPr="00365BBA">
                        <w:rPr>
                          <w:rFonts w:ascii="Calibri" w:hAnsi="Calibri" w:cs="Calibri"/>
                          <w:color w:val="000000" w:themeColor="text1"/>
                          <w:sz w:val="23"/>
                          <w:szCs w:val="23"/>
                        </w:rPr>
                        <w:t xml:space="preserve">I see the ‘decolonising’ agenda as a collective effort to ensure that our teaching empowers individuals and groups and recognises their unique contribution to society rather than hampering the progress of previously marginalised ethnic, racial, gender and sexual groups. </w:t>
                      </w:r>
                    </w:p>
                    <w:p w14:paraId="04845EB0" w14:textId="6A2D5E39" w:rsidR="00A70BD8" w:rsidRPr="00365BBA" w:rsidRDefault="00A70BD8" w:rsidP="00365BBA">
                      <w:pPr>
                        <w:spacing w:after="120"/>
                        <w:jc w:val="both"/>
                        <w:rPr>
                          <w:rFonts w:ascii="Calibri" w:hAnsi="Calibri" w:cs="Calibri"/>
                          <w:color w:val="000000" w:themeColor="text1"/>
                          <w:sz w:val="23"/>
                          <w:szCs w:val="23"/>
                        </w:rPr>
                      </w:pPr>
                      <w:r w:rsidRPr="00365BBA">
                        <w:rPr>
                          <w:rFonts w:ascii="Calibri" w:hAnsi="Calibri" w:cs="Calibri"/>
                          <w:color w:val="000000" w:themeColor="text1"/>
                          <w:sz w:val="23"/>
                          <w:szCs w:val="23"/>
                        </w:rPr>
                        <w:t xml:space="preserve">First, I believe that including voices and experiences from a variety of backgrounds into my reading lists and teaching material helps persuade students that they can contribute to scholarship and even effect political change (Freire, 1993: 61, 105). Therefore, I am mindful of ensuring a broad representation of scholars in my reading lists, with a focus on </w:t>
                      </w:r>
                      <w:r w:rsidRPr="00365BBA">
                        <w:rPr>
                          <w:rFonts w:ascii="Calibri" w:eastAsia="Times New Roman" w:hAnsi="Calibri" w:cs="Calibri"/>
                          <w:color w:val="000000" w:themeColor="text1"/>
                          <w:sz w:val="23"/>
                          <w:szCs w:val="23"/>
                        </w:rPr>
                        <w:t>increasing the number of non-Western and non-male authors while at the same time exposing the students to the key texts in conflict studies. To do so, I created a list of key theoretical readings (often written by male US-based authors) and a list of case-based readings (whose authors are often from the Global South and not male). Each week, I asked students to choose one reading from each list, ensuring that they gain exposure both to key theoretical texts and to a variety of non-traditional, more critical and cutting-edge perspectives and voices. I found a puzzling gap in the IR-conflict field as concerns resources for more diverse curricula (</w:t>
                      </w:r>
                      <w:hyperlink r:id="rId42" w:history="1">
                        <w:r w:rsidRPr="00365BBA">
                          <w:rPr>
                            <w:rStyle w:val="Hyperlink"/>
                            <w:rFonts w:ascii="Calibri" w:hAnsi="Calibri" w:cs="Calibri"/>
                            <w:sz w:val="23"/>
                            <w:szCs w:val="23"/>
                          </w:rPr>
                          <w:t>https://thealternativereadinglistproject.wordpress.com/</w:t>
                        </w:r>
                      </w:hyperlink>
                      <w:r w:rsidRPr="00365BBA">
                        <w:rPr>
                          <w:rFonts w:ascii="Calibri" w:eastAsia="Times New Roman" w:hAnsi="Calibri" w:cs="Calibri"/>
                          <w:color w:val="000000" w:themeColor="text1"/>
                          <w:sz w:val="23"/>
                          <w:szCs w:val="23"/>
                        </w:rPr>
                        <w:t>), with</w:t>
                      </w:r>
                      <w:r>
                        <w:rPr>
                          <w:rFonts w:ascii="Calibri" w:eastAsia="Times New Roman" w:hAnsi="Calibri" w:cs="Calibri"/>
                          <w:color w:val="000000" w:themeColor="text1"/>
                          <w:sz w:val="23"/>
                          <w:szCs w:val="23"/>
                        </w:rPr>
                        <w:t xml:space="preserve"> the African Politics Reading </w:t>
                      </w:r>
                      <w:r w:rsidRPr="00365BBA">
                        <w:rPr>
                          <w:rFonts w:ascii="Calibri" w:eastAsia="Times New Roman" w:hAnsi="Calibri" w:cs="Calibri"/>
                          <w:color w:val="000000" w:themeColor="text1"/>
                          <w:sz w:val="23"/>
                          <w:szCs w:val="23"/>
                        </w:rPr>
                        <w:t>(</w:t>
                      </w:r>
                      <w:hyperlink r:id="rId43" w:history="1">
                        <w:r w:rsidRPr="00365BBA">
                          <w:rPr>
                            <w:rStyle w:val="Hyperlink"/>
                            <w:rFonts w:ascii="Calibri" w:hAnsi="Calibri" w:cs="Calibri"/>
                            <w:color w:val="000000" w:themeColor="text1"/>
                            <w:sz w:val="23"/>
                            <w:szCs w:val="23"/>
                          </w:rPr>
                          <w:t>http://democracyinafrica.org/decolonizing-the-university-the-african-politics-reading-list/</w:t>
                        </w:r>
                      </w:hyperlink>
                      <w:r w:rsidRPr="00365BBA">
                        <w:rPr>
                          <w:rFonts w:ascii="Calibri" w:eastAsia="Times New Roman" w:hAnsi="Calibri" w:cs="Calibri"/>
                          <w:color w:val="000000" w:themeColor="text1"/>
                          <w:sz w:val="23"/>
                          <w:szCs w:val="23"/>
                        </w:rPr>
                        <w:t>)</w:t>
                      </w:r>
                      <w:r>
                        <w:rPr>
                          <w:rFonts w:ascii="Calibri" w:eastAsia="Times New Roman" w:hAnsi="Calibri" w:cs="Calibri"/>
                          <w:color w:val="000000" w:themeColor="text1"/>
                          <w:sz w:val="23"/>
                          <w:szCs w:val="23"/>
                        </w:rPr>
                        <w:t xml:space="preserve"> </w:t>
                      </w:r>
                      <w:r w:rsidRPr="00365BBA">
                        <w:rPr>
                          <w:rFonts w:ascii="Calibri" w:eastAsia="Times New Roman" w:hAnsi="Calibri" w:cs="Calibri"/>
                          <w:color w:val="000000" w:themeColor="text1"/>
                          <w:sz w:val="23"/>
                          <w:szCs w:val="23"/>
                        </w:rPr>
                        <w:t xml:space="preserve">a welcome exception. </w:t>
                      </w:r>
                    </w:p>
                    <w:p w14:paraId="097B865A" w14:textId="3A53610A" w:rsidR="00A70BD8" w:rsidRPr="002F281E" w:rsidRDefault="00A70BD8" w:rsidP="002F281E">
                      <w:pPr>
                        <w:spacing w:after="120"/>
                        <w:jc w:val="both"/>
                        <w:rPr>
                          <w:rFonts w:ascii="Calibri" w:eastAsia="Times New Roman" w:hAnsi="Calibri" w:cs="Calibri"/>
                          <w:color w:val="000000" w:themeColor="text1"/>
                          <w:sz w:val="23"/>
                          <w:szCs w:val="23"/>
                        </w:rPr>
                      </w:pPr>
                      <w:r w:rsidRPr="00365BBA">
                        <w:rPr>
                          <w:rFonts w:ascii="Calibri" w:hAnsi="Calibri" w:cs="Calibri"/>
                          <w:color w:val="000000" w:themeColor="text1"/>
                          <w:sz w:val="23"/>
                          <w:szCs w:val="23"/>
                        </w:rPr>
                        <w:t xml:space="preserve">Second, over the years I have heard repeated arguments that decolonising our teaching comes at the expenses of learning and quality education. I believe it is important to underline that educational research is clear that this is not the case: learning only occurs when students are interested in the subject matter and care about it (Murphy Paul, 2013). Linking the subject material to students’ background and past experience has been shown to improve achievement </w:t>
                      </w:r>
                      <w:r w:rsidRPr="00B1316F">
                        <w:rPr>
                          <w:rFonts w:ascii="Calibri" w:hAnsi="Calibri" w:cs="Calibri"/>
                          <w:bCs/>
                          <w:color w:val="000000" w:themeColor="text1"/>
                          <w:sz w:val="23"/>
                          <w:szCs w:val="23"/>
                        </w:rPr>
                        <w:t>(</w:t>
                      </w:r>
                      <w:proofErr w:type="spellStart"/>
                      <w:r w:rsidRPr="00365BBA">
                        <w:rPr>
                          <w:rFonts w:ascii="Calibri" w:eastAsia="Times New Roman" w:hAnsi="Calibri" w:cs="Calibri"/>
                          <w:color w:val="000000" w:themeColor="text1"/>
                          <w:sz w:val="23"/>
                          <w:szCs w:val="23"/>
                        </w:rPr>
                        <w:t>Harackiewicz</w:t>
                      </w:r>
                      <w:proofErr w:type="spellEnd"/>
                      <w:r w:rsidRPr="00365BBA">
                        <w:rPr>
                          <w:rFonts w:ascii="Calibri" w:eastAsia="Times New Roman" w:hAnsi="Calibri" w:cs="Calibri"/>
                          <w:color w:val="000000" w:themeColor="text1"/>
                          <w:sz w:val="23"/>
                          <w:szCs w:val="23"/>
                        </w:rPr>
                        <w:t xml:space="preserve"> and </w:t>
                      </w:r>
                      <w:proofErr w:type="spellStart"/>
                      <w:r w:rsidRPr="00365BBA">
                        <w:rPr>
                          <w:rFonts w:ascii="Calibri" w:eastAsia="Times New Roman" w:hAnsi="Calibri" w:cs="Calibri"/>
                          <w:color w:val="000000" w:themeColor="text1"/>
                          <w:sz w:val="23"/>
                          <w:szCs w:val="23"/>
                        </w:rPr>
                        <w:t>Hulleman</w:t>
                      </w:r>
                      <w:proofErr w:type="spellEnd"/>
                      <w:r w:rsidRPr="00365BBA">
                        <w:rPr>
                          <w:rFonts w:ascii="Calibri" w:eastAsia="Times New Roman" w:hAnsi="Calibri" w:cs="Calibri"/>
                          <w:color w:val="000000" w:themeColor="text1"/>
                          <w:sz w:val="23"/>
                          <w:szCs w:val="23"/>
                        </w:rPr>
                        <w:t>, 2010</w:t>
                      </w:r>
                      <w:r w:rsidRPr="00B1316F">
                        <w:rPr>
                          <w:rFonts w:ascii="Calibri" w:hAnsi="Calibri" w:cs="Calibri"/>
                          <w:bCs/>
                          <w:color w:val="000000" w:themeColor="text1"/>
                          <w:sz w:val="23"/>
                          <w:szCs w:val="23"/>
                        </w:rPr>
                        <w:t>)</w:t>
                      </w:r>
                      <w:r w:rsidRPr="00365BBA">
                        <w:rPr>
                          <w:rFonts w:ascii="Calibri" w:hAnsi="Calibri" w:cs="Calibri"/>
                          <w:color w:val="000000" w:themeColor="text1"/>
                          <w:sz w:val="23"/>
                          <w:szCs w:val="23"/>
                        </w:rPr>
                        <w:t xml:space="preserve">. If we are serious about narrowing the BAME and gender gap, incorporating and valuing students’ visible and invisible identities and backgrounds is essential. I try to do this in three, very simple ways. First, I try to make the diversity of role models visible: I often include pictures and videos of scholars or peacemakers in my lectures and seminar slides. This helps me draw attention to their diverse backgrounds and identities, and how this contributed to their original perspectives. This approach has been pioneered in STEM subjects (see, for example, </w:t>
                      </w:r>
                      <w:hyperlink r:id="rId44" w:history="1">
                        <w:r w:rsidRPr="00365BBA">
                          <w:rPr>
                            <w:rStyle w:val="Hyperlink"/>
                            <w:rFonts w:ascii="Calibri" w:hAnsi="Calibri" w:cs="Calibri"/>
                            <w:sz w:val="23"/>
                            <w:szCs w:val="23"/>
                          </w:rPr>
                          <w:t>http://stemteachingtools.org/assets/landscapes/STEM-Teaching-Tool-55-Making-Diversity-Visible-in-STEM.pdf</w:t>
                        </w:r>
                      </w:hyperlink>
                      <w:r w:rsidRPr="00365BBA">
                        <w:rPr>
                          <w:rFonts w:ascii="Calibri" w:hAnsi="Calibri" w:cs="Calibri"/>
                          <w:color w:val="000000" w:themeColor="text1"/>
                          <w:sz w:val="23"/>
                          <w:szCs w:val="23"/>
                        </w:rPr>
                        <w:t xml:space="preserve"> ). Second, I elicit students’ previous experiences and knowledge as a ‘hook’ for seminars and lectures, linking the dynamics and challenges of their everyday lives (related with racism, marginalisation etc…) to the experience of violent conflict elsewhere. Third, I provide choice in their learning. For example, I offer a choice of multiple case studies in different continents for each seminar, allowing students to pick topics which resonate with their interests and experiences. I have found that, beyond challenging curricular inertia, these simple techniques stimulate interest and care for the learning material among the majority of students and encourage them to view themselves as potentially contributing to scholarship and policy-making, which I believe is the core aim any IR and politics </w:t>
                      </w:r>
                      <w:r>
                        <w:rPr>
                          <w:rFonts w:ascii="Calibri" w:hAnsi="Calibri" w:cs="Calibri"/>
                          <w:color w:val="000000" w:themeColor="text1"/>
                          <w:sz w:val="23"/>
                          <w:szCs w:val="23"/>
                        </w:rPr>
                        <w:t>degree.</w:t>
                      </w:r>
                    </w:p>
                  </w:txbxContent>
                </v:textbox>
              </v:shape>
            </w:pict>
          </mc:Fallback>
        </mc:AlternateContent>
      </w:r>
      <w:r w:rsidR="00365BBA" w:rsidRPr="00AB46B0">
        <w:rPr>
          <w:rFonts w:ascii="Calibri" w:hAnsi="Calibri" w:cs="Calibri"/>
          <w:b/>
          <w:bCs/>
          <w:sz w:val="22"/>
          <w:szCs w:val="22"/>
        </w:rPr>
        <w:br w:type="page"/>
      </w:r>
    </w:p>
    <w:p w14:paraId="3B3D0835" w14:textId="77777777" w:rsidR="00864090" w:rsidRPr="00864090" w:rsidRDefault="00480075" w:rsidP="00E85D72">
      <w:pPr>
        <w:pStyle w:val="Heading2"/>
        <w:ind w:left="567"/>
        <w:rPr>
          <w:b/>
          <w:bCs/>
          <w:color w:val="588392"/>
          <w:sz w:val="30"/>
          <w:szCs w:val="30"/>
        </w:rPr>
      </w:pPr>
      <w:bookmarkStart w:id="29" w:name="_Toc50019552"/>
      <w:bookmarkStart w:id="30" w:name="_Toc49932075"/>
      <w:r w:rsidRPr="00864090">
        <w:rPr>
          <w:b/>
          <w:bCs/>
          <w:color w:val="588392"/>
          <w:sz w:val="30"/>
          <w:szCs w:val="30"/>
        </w:rPr>
        <w:t>Decolonising Development Studies: Some Reflections</w:t>
      </w:r>
      <w:bookmarkEnd w:id="29"/>
      <w:r w:rsidR="009474A1" w:rsidRPr="00864090">
        <w:rPr>
          <w:b/>
          <w:bCs/>
          <w:color w:val="588392"/>
          <w:sz w:val="30"/>
          <w:szCs w:val="30"/>
        </w:rPr>
        <w:t xml:space="preserve"> </w:t>
      </w:r>
    </w:p>
    <w:p w14:paraId="26D84BC8" w14:textId="2F70BBDC" w:rsidR="00480075" w:rsidRPr="00864090" w:rsidRDefault="008963F3" w:rsidP="00864090">
      <w:pPr>
        <w:pStyle w:val="Heading2"/>
        <w:spacing w:after="120"/>
        <w:ind w:left="567"/>
        <w:rPr>
          <w:b/>
          <w:bCs/>
          <w:color w:val="588392"/>
          <w:sz w:val="28"/>
          <w:szCs w:val="28"/>
        </w:rPr>
      </w:pPr>
      <w:bookmarkStart w:id="31" w:name="_Toc50019553"/>
      <w:r w:rsidRPr="00864090">
        <w:rPr>
          <w:b/>
          <w:bCs/>
          <w:color w:val="588392"/>
          <w:sz w:val="28"/>
          <w:szCs w:val="28"/>
        </w:rPr>
        <w:t>Jonathan Fisher</w:t>
      </w:r>
      <w:bookmarkEnd w:id="30"/>
      <w:bookmarkEnd w:id="31"/>
    </w:p>
    <w:p w14:paraId="32A4700E" w14:textId="77777777" w:rsidR="00480075" w:rsidRPr="00AB46B0" w:rsidRDefault="00480075" w:rsidP="00DB16C5">
      <w:pPr>
        <w:ind w:left="567"/>
        <w:rPr>
          <w:rFonts w:ascii="Calibri" w:hAnsi="Calibri" w:cs="Calibri"/>
          <w:b/>
          <w:bCs/>
          <w:sz w:val="22"/>
          <w:szCs w:val="22"/>
        </w:rPr>
      </w:pPr>
    </w:p>
    <w:p w14:paraId="1ECE283A" w14:textId="2BB8EEAB" w:rsidR="00033D25" w:rsidRPr="00864090" w:rsidRDefault="00033D25" w:rsidP="003F4EE3">
      <w:pPr>
        <w:spacing w:after="120"/>
        <w:ind w:left="567" w:right="333"/>
        <w:jc w:val="both"/>
        <w:rPr>
          <w:rFonts w:ascii="Calibri" w:hAnsi="Calibri" w:cs="Calibri"/>
          <w:i/>
          <w:iCs/>
        </w:rPr>
      </w:pPr>
      <w:r w:rsidRPr="00864090">
        <w:rPr>
          <w:rFonts w:ascii="Calibri" w:hAnsi="Calibri" w:cs="Calibri"/>
          <w:i/>
          <w:iCs/>
        </w:rPr>
        <w:t xml:space="preserve">Below is a set of </w:t>
      </w:r>
      <w:r w:rsidRPr="00864090">
        <w:rPr>
          <w:rFonts w:ascii="Calibri" w:hAnsi="Calibri" w:cs="Calibri"/>
          <w:i/>
          <w:iCs/>
          <w:u w:val="single"/>
        </w:rPr>
        <w:t>personal</w:t>
      </w:r>
      <w:r w:rsidRPr="00864090">
        <w:rPr>
          <w:rFonts w:ascii="Calibri" w:hAnsi="Calibri" w:cs="Calibri"/>
          <w:i/>
          <w:iCs/>
        </w:rPr>
        <w:t xml:space="preserve"> reflections on the topic of decolonising Development Studies (DS) drawing on my reading of the literature and my own experiences and thoughts after a decade of teaching DS. I am keen to underline that:</w:t>
      </w:r>
    </w:p>
    <w:p w14:paraId="5E2F59F9" w14:textId="07A3A3CA" w:rsidR="00033D25" w:rsidRPr="00864090" w:rsidRDefault="00033D25" w:rsidP="003F4EE3">
      <w:pPr>
        <w:pStyle w:val="ListParagraph"/>
        <w:numPr>
          <w:ilvl w:val="0"/>
          <w:numId w:val="39"/>
        </w:numPr>
        <w:spacing w:after="120"/>
        <w:ind w:right="333"/>
        <w:jc w:val="both"/>
        <w:rPr>
          <w:rFonts w:ascii="Calibri" w:hAnsi="Calibri" w:cs="Calibri"/>
          <w:i/>
          <w:iCs/>
        </w:rPr>
      </w:pPr>
      <w:r w:rsidRPr="00864090">
        <w:rPr>
          <w:rFonts w:ascii="Calibri" w:hAnsi="Calibri" w:cs="Calibri"/>
          <w:i/>
          <w:iCs/>
        </w:rPr>
        <w:t>Though some IDD colleagues have very helpfully pointed me to some of the scholars and sources below, this note is not intended as a collective ‘IDD view’ on the issue of decolonising DS.</w:t>
      </w:r>
    </w:p>
    <w:p w14:paraId="3F410355" w14:textId="3811B50E" w:rsidR="00033D25" w:rsidRPr="00864090" w:rsidRDefault="00033D25" w:rsidP="003F4EE3">
      <w:pPr>
        <w:pStyle w:val="ListParagraph"/>
        <w:numPr>
          <w:ilvl w:val="0"/>
          <w:numId w:val="39"/>
        </w:numPr>
        <w:spacing w:after="120"/>
        <w:ind w:right="333"/>
        <w:jc w:val="both"/>
        <w:rPr>
          <w:rFonts w:ascii="Calibri" w:hAnsi="Calibri" w:cs="Calibri"/>
          <w:i/>
          <w:iCs/>
        </w:rPr>
      </w:pPr>
      <w:r w:rsidRPr="00864090">
        <w:rPr>
          <w:rFonts w:ascii="Calibri" w:hAnsi="Calibri" w:cs="Calibri"/>
          <w:i/>
          <w:iCs/>
        </w:rPr>
        <w:t>Decolonising the curriculum is an on-going process and aspiration and I do not consider my own modules to be anywhere near ‘good practice’ (at least, to the degree that I would like). I am continuing to learn, and view the below as part of a conversation, rather than as any kind of authoritative or didactic statement.</w:t>
      </w:r>
    </w:p>
    <w:p w14:paraId="3C299DD5" w14:textId="77777777" w:rsidR="00033D25" w:rsidRPr="00864090" w:rsidRDefault="00033D25" w:rsidP="003F4EE3">
      <w:pPr>
        <w:pStyle w:val="ListParagraph"/>
        <w:numPr>
          <w:ilvl w:val="0"/>
          <w:numId w:val="39"/>
        </w:numPr>
        <w:spacing w:after="120"/>
        <w:ind w:right="333"/>
        <w:jc w:val="both"/>
        <w:rPr>
          <w:rFonts w:ascii="Calibri" w:hAnsi="Calibri" w:cs="Calibri"/>
          <w:i/>
          <w:iCs/>
        </w:rPr>
      </w:pPr>
      <w:r w:rsidRPr="00864090">
        <w:rPr>
          <w:rFonts w:ascii="Calibri" w:hAnsi="Calibri" w:cs="Calibri"/>
          <w:i/>
          <w:iCs/>
        </w:rPr>
        <w:t>This is a short, initial contribution which is not intended to be in any way comprehensive. There is much that is not flagged or discussed in the below which deserves prominence.</w:t>
      </w:r>
    </w:p>
    <w:p w14:paraId="79D0F71C" w14:textId="77777777" w:rsidR="00365BBA" w:rsidRPr="00864090" w:rsidRDefault="00365BBA" w:rsidP="003F4EE3">
      <w:pPr>
        <w:spacing w:after="120"/>
        <w:ind w:left="567" w:right="333"/>
        <w:rPr>
          <w:rFonts w:ascii="Calibri" w:hAnsi="Calibri" w:cs="Calibri"/>
          <w:i/>
          <w:iCs/>
        </w:rPr>
      </w:pPr>
    </w:p>
    <w:p w14:paraId="590DCFB0" w14:textId="60A4EC66" w:rsidR="00033D25" w:rsidRPr="00864090" w:rsidRDefault="00033D25" w:rsidP="003F4EE3">
      <w:pPr>
        <w:spacing w:after="120"/>
        <w:ind w:left="567" w:right="333"/>
        <w:rPr>
          <w:rFonts w:ascii="Calibri" w:hAnsi="Calibri" w:cs="Calibri"/>
          <w:b/>
          <w:bCs/>
        </w:rPr>
      </w:pPr>
      <w:r w:rsidRPr="00864090">
        <w:rPr>
          <w:rFonts w:ascii="Calibri" w:hAnsi="Calibri" w:cs="Calibri"/>
          <w:b/>
          <w:bCs/>
        </w:rPr>
        <w:t>Development Studies’ Colonial Origins: Implications for the Curriculum and Pedagogy</w:t>
      </w:r>
    </w:p>
    <w:p w14:paraId="01E58030" w14:textId="77777777" w:rsidR="00033D25" w:rsidRPr="00864090" w:rsidRDefault="00033D25" w:rsidP="003F4EE3">
      <w:pPr>
        <w:spacing w:after="120"/>
        <w:ind w:left="567" w:right="333"/>
        <w:jc w:val="both"/>
        <w:rPr>
          <w:rFonts w:ascii="Calibri" w:hAnsi="Calibri" w:cs="Calibri"/>
        </w:rPr>
      </w:pPr>
      <w:r w:rsidRPr="00864090">
        <w:rPr>
          <w:rFonts w:ascii="Calibri" w:hAnsi="Calibri" w:cs="Calibri"/>
        </w:rPr>
        <w:t>(Neo-)colonialism and Euro-/Western-centrism have been at the heart of Development Studies (DS) since its emergence as an academic discipline (principally, at that time, as development economics) in the 1950s. Discourses around using UK funds to promote the ‘[economic] development’ and ‘welfare’ of Southern peoples emerged during the period of European states’ ‘second colonial occupation’, with successive UK ‘Colonial Development and Welfare Acts’ (1929, 1940, 1945) espousing highly paternalistic rationales relating to the superiority of Western knowledge and technologies, and the ‘duty of [Western] taxpayers’ to contribute to ‘development in the widest sense of the word of the colonial peoples’ (MacDonald, 1940). Indeed, European colonialism itself was often discursively premised on a notional ‘civilizing mission’ – a normative agenda which held that Western states and peoples represented a more advanced stage of political, economic and cultural ‘evolution’ and that Western powers therefore held a responsibility for assisting those elsewhere to reach this point. US president Harry Truman alludes to this set of assumptions in his 1947 ‘Truman Doctrine’ speech to the US Congress – widely seen as the first step towards a comprehensive US approach to development aid (Truman, 1947).</w:t>
      </w:r>
    </w:p>
    <w:p w14:paraId="5C735E78" w14:textId="1F78156F" w:rsidR="00033D25" w:rsidRPr="00864090" w:rsidRDefault="00033D25" w:rsidP="003F4EE3">
      <w:pPr>
        <w:spacing w:after="120"/>
        <w:ind w:left="567" w:right="333"/>
        <w:jc w:val="both"/>
        <w:rPr>
          <w:rFonts w:ascii="Calibri" w:hAnsi="Calibri" w:cs="Calibri"/>
        </w:rPr>
      </w:pPr>
      <w:r w:rsidRPr="00864090">
        <w:rPr>
          <w:rFonts w:ascii="Calibri" w:hAnsi="Calibri" w:cs="Calibri"/>
        </w:rPr>
        <w:t xml:space="preserve">These assumptions – that Western states have reached a ‘superior’ stage of development and have a moral responsibility to support Southern societies in reaching a similar position – dominated early DS theorising, notably in Walt Rostow’s </w:t>
      </w:r>
      <w:r w:rsidRPr="00864090">
        <w:rPr>
          <w:rFonts w:ascii="Calibri" w:hAnsi="Calibri" w:cs="Calibri"/>
          <w:i/>
          <w:iCs/>
        </w:rPr>
        <w:t xml:space="preserve">Stages of Economic Growth </w:t>
      </w:r>
      <w:r w:rsidRPr="00864090">
        <w:rPr>
          <w:rFonts w:ascii="Calibri" w:hAnsi="Calibri" w:cs="Calibri"/>
        </w:rPr>
        <w:t>(1960) and the wider ‘modernization theory’ school he was part of. They have continued, however, to guide influential contributions into the 21</w:t>
      </w:r>
      <w:r w:rsidRPr="00864090">
        <w:rPr>
          <w:rFonts w:ascii="Calibri" w:hAnsi="Calibri" w:cs="Calibri"/>
          <w:vertAlign w:val="superscript"/>
        </w:rPr>
        <w:t>st</w:t>
      </w:r>
      <w:r w:rsidRPr="00864090">
        <w:rPr>
          <w:rFonts w:ascii="Calibri" w:hAnsi="Calibri" w:cs="Calibri"/>
        </w:rPr>
        <w:t xml:space="preserve"> Century (Collier, 2007; Ghani and Lockhart, 2008; Sachs, 2005). Critically, these works often start from a similar place – a crisis of poverty, governance and economic management in the South – and propose a similar ‘solution’ – Western aid/intervention and the need to ‘fix failed states’ (Sultana, 2019). The role and influence of (neo-)colonialism is frequently under-emphasized or ignored in these works and, indeed, mainstream DS often continues to be ahistorical and uncritical regarding the colonial origins of Western engagement in the Global South.</w:t>
      </w:r>
    </w:p>
    <w:p w14:paraId="50FC01CE" w14:textId="5906D373" w:rsidR="00033D25" w:rsidRPr="00864090" w:rsidRDefault="00033D25" w:rsidP="003F4EE3">
      <w:pPr>
        <w:spacing w:after="120"/>
        <w:ind w:left="567" w:right="333"/>
        <w:jc w:val="both"/>
        <w:rPr>
          <w:rFonts w:ascii="Calibri" w:hAnsi="Calibri" w:cs="Calibri"/>
        </w:rPr>
      </w:pPr>
      <w:r w:rsidRPr="00864090">
        <w:rPr>
          <w:rFonts w:ascii="Calibri" w:hAnsi="Calibri" w:cs="Calibri"/>
        </w:rPr>
        <w:t>From a curriculum perspective, then, decolonising DS means – at the very least – acknowledging and unpacking the colonial provenance of DS as a discourse and discipline, underscoring the continuity in (neo-)colonial assumptions and approaches in contemporary thinking and practice, placing notional ‘canon’ thinkers in their intellectual and historical context, and placing white, Northern thinkers in dialogue with Southern thinkers and voices. There are, for example, influential DS traditions which challenge and contest social evolution- and intervention-based perspectives on development – including dependency theorists and Marxist development economists who emphasize the neocolonial character of the global system (Amin, 1976; Cardoso and Faletto, 1979; Chang, 2002), and anti-/post-colonial development theorists who reject or critique ‘development’ as essentialising, universalising, and destructive.</w:t>
      </w:r>
    </w:p>
    <w:p w14:paraId="6EDE0F01" w14:textId="4DED560C" w:rsidR="00033D25" w:rsidRPr="00864090" w:rsidRDefault="00033D25" w:rsidP="003F4EE3">
      <w:pPr>
        <w:spacing w:after="120"/>
        <w:ind w:left="567" w:right="333"/>
        <w:jc w:val="both"/>
        <w:rPr>
          <w:rFonts w:ascii="Calibri" w:hAnsi="Calibri" w:cs="Calibri"/>
        </w:rPr>
      </w:pPr>
      <w:r w:rsidRPr="00864090">
        <w:rPr>
          <w:rFonts w:ascii="Calibri" w:hAnsi="Calibri" w:cs="Calibri"/>
        </w:rPr>
        <w:t xml:space="preserve">There is a question here, though, on sequencing and knowledge hierarchies. DS introductory modules will often begin with the ‘orthodoxy’ (modernization theory), followed by the ‘critique’ – dependency theory, anti-development, post-development. This, by definition, posits the ‘un-decolonised’ view of DS, together with its largely white, Northern authorship, as the point of departure for discussing the discipline as a whole, edifying existing inequities in knowledge production across the field. On the other hand, precisely because of its colonial, Eurocentric origins, and implications, DS – and the concept of ‘development’ – cannot be meaningfully detached from the political project it often represents. “Development” as ‘getting to Denmark’ or ‘giving aid’ is not simply embedded in some DS scholarship but is also, based on my own experiences, a guiding assumption of many students, including those from the Global South. Indeed, the under-resourcing of many Southern universities (particularly in Africa) and continued privileging of Northern epistemologies and knowledge production in these institutions means that sometimes students from the South are </w:t>
      </w:r>
      <w:r w:rsidRPr="00864090">
        <w:rPr>
          <w:rFonts w:ascii="Calibri" w:hAnsi="Calibri" w:cs="Calibri"/>
          <w:i/>
          <w:iCs/>
        </w:rPr>
        <w:t>less</w:t>
      </w:r>
      <w:r w:rsidRPr="00864090">
        <w:rPr>
          <w:rFonts w:ascii="Calibri" w:hAnsi="Calibri" w:cs="Calibri"/>
        </w:rPr>
        <w:t xml:space="preserve"> familiar with critical approaches to DS than their Northern counterparts. </w:t>
      </w:r>
    </w:p>
    <w:p w14:paraId="57F28B07" w14:textId="2D90CDD2" w:rsidR="00033D25" w:rsidRPr="00864090" w:rsidRDefault="00033D25" w:rsidP="003F4EE3">
      <w:pPr>
        <w:spacing w:after="120"/>
        <w:ind w:left="567" w:right="333"/>
        <w:jc w:val="both"/>
        <w:rPr>
          <w:rFonts w:ascii="Calibri" w:hAnsi="Calibri" w:cs="Calibri"/>
        </w:rPr>
      </w:pPr>
      <w:r w:rsidRPr="00864090">
        <w:rPr>
          <w:rFonts w:ascii="Calibri" w:hAnsi="Calibri" w:cs="Calibri"/>
        </w:rPr>
        <w:t>In terms of pedagogy, approaching the concept of “development” as a contested, political term from the start is – to my mind – essential, as is ensuring that there is exchange and collaboration between the lecturer and class around how the term can be understood. As Judith Krauss notes, “most teaching setups expect unidirectional sharing of knowledge and information from (often Northern) students” – which would clearly be inappropriate for unpacking the political and normative content of development as a concept and discipline (Krauss, 2018). One cannot and should not, however, assume that all Southern students necessarily hold a ‘critical’ or ‘decolonised’ view of “development”. Indeed, where I have sometimes felt most uncomfortable in my own teaching is where a Southern student praises “development” as an altruistic Western exercise to help Southern states to “catch up”. As a white, British person, it feels paternalistic to challenge this view through emphasizing colonial origins and enduring (neo-)colonial assumptions when the student in question – unlike me – has lived much of their life in a postcolonial setting. Focusing on the production of knowledge and activism around decolonising the academy in both the South and North represents, therefore, a way into these kinds of questions, particularly when this is underlined as a key thread running through the module.</w:t>
      </w:r>
    </w:p>
    <w:p w14:paraId="5584CDCD" w14:textId="77777777" w:rsidR="00033D25" w:rsidRPr="00864090" w:rsidRDefault="00033D25" w:rsidP="003F4EE3">
      <w:pPr>
        <w:spacing w:after="120"/>
        <w:ind w:left="567" w:right="333"/>
        <w:rPr>
          <w:rFonts w:ascii="Calibri" w:hAnsi="Calibri" w:cs="Calibri"/>
          <w:b/>
          <w:bCs/>
        </w:rPr>
      </w:pPr>
    </w:p>
    <w:p w14:paraId="62D825FC" w14:textId="77777777" w:rsidR="00033D25" w:rsidRPr="00864090" w:rsidRDefault="00033D25" w:rsidP="003F4EE3">
      <w:pPr>
        <w:spacing w:after="120"/>
        <w:ind w:left="567" w:right="333"/>
        <w:rPr>
          <w:rFonts w:ascii="Calibri" w:hAnsi="Calibri" w:cs="Calibri"/>
          <w:b/>
          <w:bCs/>
        </w:rPr>
      </w:pPr>
      <w:r w:rsidRPr="00864090">
        <w:rPr>
          <w:rFonts w:ascii="Calibri" w:hAnsi="Calibri" w:cs="Calibri"/>
          <w:b/>
          <w:bCs/>
        </w:rPr>
        <w:t>Diversity, Decolonising and Race</w:t>
      </w:r>
    </w:p>
    <w:p w14:paraId="4C6ABFC3" w14:textId="77777777" w:rsidR="00033D25" w:rsidRPr="00864090" w:rsidRDefault="00033D25" w:rsidP="003F4EE3">
      <w:pPr>
        <w:spacing w:after="120"/>
        <w:ind w:left="567" w:right="333"/>
        <w:jc w:val="both"/>
        <w:rPr>
          <w:rFonts w:ascii="Calibri" w:hAnsi="Calibri" w:cs="Calibri"/>
        </w:rPr>
      </w:pPr>
      <w:r w:rsidRPr="00864090">
        <w:rPr>
          <w:rFonts w:ascii="Calibri" w:hAnsi="Calibri" w:cs="Calibri"/>
        </w:rPr>
        <w:t xml:space="preserve">At a basic level, then, decolonising DS means appreciating, acknowledging, and exploring how (neo-)colonial and other Eurocentric, hegemonic power structures influence how past and present inequalities are understood, represented, characterised, and approached. This is partly about whose voices are given prominence across the module – in terms of readings/resources assigned – but, perhaps more importantly, how these materials are framed, engaged with and analysed in lectures and class discussions. There is a distinction to be drawn here between embedding ‘diversity’ and ‘decolonising’ into a module. Citation practice is political and it is critical to ensure that students have access to a diverse range of voices and perspectives, and this may mean bringing in readings or materials from outside the (often Northern-dominated) ‘usual’ journals of note. Showing video interviews with, or presentations by, Southern scholars and activists can also be a valuable mechanism to move beyond the ‘authoritative’ voice of the (Northern) lecturer. </w:t>
      </w:r>
    </w:p>
    <w:p w14:paraId="364B7C59" w14:textId="2734CAFB" w:rsidR="00033D25" w:rsidRPr="00864090" w:rsidRDefault="00033D25" w:rsidP="003F4EE3">
      <w:pPr>
        <w:spacing w:after="120"/>
        <w:ind w:left="567" w:right="333"/>
        <w:jc w:val="both"/>
        <w:rPr>
          <w:rFonts w:ascii="Calibri" w:hAnsi="Calibri" w:cs="Calibri"/>
        </w:rPr>
      </w:pPr>
      <w:r w:rsidRPr="00864090">
        <w:rPr>
          <w:rFonts w:ascii="Calibri" w:hAnsi="Calibri" w:cs="Calibri"/>
        </w:rPr>
        <w:t xml:space="preserve">Assigning readings by Southern/BAME/female/LGBTQ+ authors is not necessarily the same as decolonising a curriculum, however, since it depends on what questions they are addressing, how they are doing so, what assumptions they are relying upon, and how the lecturer and class are reading them. I have previously facilitated a class discussion around this by assigning Kenyan political scientist Ali Mazui’s “The Blood of Experience: The Failed State and Political Collapse in Africa” (1995) together with a portion of UK development economist Paul Collier’s </w:t>
      </w:r>
      <w:r w:rsidRPr="00864090">
        <w:rPr>
          <w:rFonts w:ascii="Calibri" w:hAnsi="Calibri" w:cs="Calibri"/>
          <w:i/>
          <w:iCs/>
        </w:rPr>
        <w:t xml:space="preserve">Bottom Billion: Why the Poorest Countries are Failing and What Can Be Done About it </w:t>
      </w:r>
      <w:r w:rsidRPr="00864090">
        <w:rPr>
          <w:rFonts w:ascii="Calibri" w:hAnsi="Calibri" w:cs="Calibri"/>
        </w:rPr>
        <w:t>(2007). Both rely on similar assumptions around the desired Weberian character of the state and emulate Western state-building models. Indeed, there is growing concern and distress in some scholarly and activist circles around the commodification and institutionalisation of ‘decolonising the curriculum’ by the managerial, neo-liberal university. These analysts argue that this transformational agenda is becoming a tick-box exercise which falls well short of its objectives and (over-)relies on BAME faculty to ‘deliver’ it (Doharty, Madriaga and Joseph-Salisbury, 2020; Noxolo, 2017).</w:t>
      </w:r>
    </w:p>
    <w:p w14:paraId="08EE3A60" w14:textId="6318DE75" w:rsidR="00033D25" w:rsidRPr="00864090" w:rsidRDefault="00033D25" w:rsidP="003F4EE3">
      <w:pPr>
        <w:spacing w:after="120"/>
        <w:ind w:left="567" w:right="333"/>
        <w:jc w:val="both"/>
        <w:rPr>
          <w:rFonts w:ascii="Calibri" w:hAnsi="Calibri" w:cs="Calibri"/>
        </w:rPr>
      </w:pPr>
      <w:r w:rsidRPr="00864090">
        <w:rPr>
          <w:rFonts w:ascii="Calibri" w:hAnsi="Calibri" w:cs="Calibri"/>
        </w:rPr>
        <w:t xml:space="preserve">A central issue raised in this literature, and in contemporary critical DS more generally, is the marginalisation of debate on race and racism, both in scholarship and the production of knowledge itself and in the structuring and environment of the Northern academy. Doharty et al (2020) note, for example, that the decolonising agenda has served to embed rather than challenge whiteness in many Northern universities, while both Pailey and Patel have charted the limited dialogue between Critical Development Scholars and Critical Race Scholars, and the wider absence of race from DS debate (Pailey, 2020; Patel, 2020). This is deeply problematic, as Patel notes, ‘given the central logic of race and racism in European colonialism, and the decolonial argument that colonialism continues in the production and value of knowledge’ (Patel, 2020). The Eurocentric tropes still found at the heart of some mainstream DS are also, as Pailey underscores, founded on profoundly racist worldviews (Pailey, 2020). Beyond the curriculum itself, the views and experiences of BAME staff and students must therefore be considered and reflected upon more empathetically and seriously as part of any effort at decolonising the academy. </w:t>
      </w:r>
    </w:p>
    <w:p w14:paraId="364238C3" w14:textId="77777777" w:rsidR="00033D25" w:rsidRPr="00864090" w:rsidRDefault="00033D25" w:rsidP="003F4EE3">
      <w:pPr>
        <w:spacing w:after="120"/>
        <w:ind w:left="567" w:right="333"/>
        <w:jc w:val="both"/>
        <w:rPr>
          <w:rFonts w:ascii="Calibri" w:hAnsi="Calibri" w:cs="Calibri"/>
        </w:rPr>
      </w:pPr>
    </w:p>
    <w:p w14:paraId="6512FFE8" w14:textId="5F37D11F" w:rsidR="00864090" w:rsidRDefault="00864090" w:rsidP="00745A26">
      <w:pPr>
        <w:rPr>
          <w:rFonts w:ascii="Calibri" w:hAnsi="Calibri" w:cs="Calibri"/>
        </w:rPr>
      </w:pPr>
    </w:p>
    <w:p w14:paraId="7B5E8D24" w14:textId="28911CE9" w:rsidR="00000EFB" w:rsidRDefault="00000EFB" w:rsidP="00745A26">
      <w:pPr>
        <w:rPr>
          <w:rFonts w:ascii="Calibri" w:hAnsi="Calibri" w:cs="Calibri"/>
        </w:rPr>
      </w:pPr>
    </w:p>
    <w:p w14:paraId="620EE278" w14:textId="70130EE6" w:rsidR="00000EFB" w:rsidRDefault="00000EFB" w:rsidP="00745A26">
      <w:pPr>
        <w:rPr>
          <w:rFonts w:ascii="Calibri" w:hAnsi="Calibri" w:cs="Calibri"/>
        </w:rPr>
      </w:pPr>
    </w:p>
    <w:p w14:paraId="0B0FCB81" w14:textId="14A1666D" w:rsidR="00745A26" w:rsidRPr="00745A26" w:rsidRDefault="00745A26" w:rsidP="00745A26">
      <w:pPr>
        <w:rPr>
          <w:rFonts w:ascii="Times New Roman" w:eastAsia="Times New Roman" w:hAnsi="Times New Roman" w:cs="Times New Roman"/>
          <w:lang w:eastAsia="en-GB"/>
        </w:rPr>
      </w:pPr>
    </w:p>
    <w:p w14:paraId="3FB8055C" w14:textId="24706260" w:rsidR="00000EFB" w:rsidRPr="00000EFB" w:rsidRDefault="00000EFB" w:rsidP="00000EFB">
      <w:pPr>
        <w:pStyle w:val="IntenseQuote"/>
      </w:pPr>
      <w:r w:rsidRPr="00000EFB">
        <w:t xml:space="preserve">“… </w:t>
      </w:r>
      <w:r>
        <w:t>T</w:t>
      </w:r>
      <w:r w:rsidRPr="00000EFB">
        <w:t xml:space="preserve">here </w:t>
      </w:r>
      <w:r>
        <w:t>[are]</w:t>
      </w:r>
      <w:r w:rsidRPr="00000EFB">
        <w:t xml:space="preserve"> naturally sensitive topics being discussed, which often result in an uncomfortable atmosphere (without overt racism/discrimination that excludes people, but with underlying assumptions that are not based on a wider understanding of history and dismisses a person’s experience). This even occurs within the curriculum</w:t>
      </w:r>
      <w:r>
        <w:t>,</w:t>
      </w:r>
      <w:r w:rsidRPr="00000EFB">
        <w:t xml:space="preserve"> which often presents itself as being outside of or isolated from the history of colonialism, foreign policy, empire etc. </w:t>
      </w:r>
      <w:r w:rsidR="00DF74DD" w:rsidRPr="00000EFB">
        <w:t>So,</w:t>
      </w:r>
      <w:r w:rsidRPr="00000EFB">
        <w:t xml:space="preserve"> in a lot of seminars, it</w:t>
      </w:r>
      <w:r>
        <w:t xml:space="preserve"> i</w:t>
      </w:r>
      <w:r w:rsidRPr="00000EFB">
        <w:t>s easy to feel that the conversation doesn't include you or is not relevant to you, because it has stripped itself of the very things that impact your own experience”</w:t>
      </w:r>
    </w:p>
    <w:p w14:paraId="5482B7EB" w14:textId="77777777" w:rsidR="003F4EE3" w:rsidRDefault="003F4EE3">
      <w:pPr>
        <w:rPr>
          <w:b/>
          <w:bCs/>
          <w:sz w:val="30"/>
          <w:szCs w:val="30"/>
        </w:rPr>
      </w:pPr>
      <w:r>
        <w:rPr>
          <w:b/>
          <w:bCs/>
          <w:sz w:val="30"/>
          <w:szCs w:val="30"/>
        </w:rPr>
        <w:br w:type="page"/>
      </w:r>
    </w:p>
    <w:p w14:paraId="7B4D095E" w14:textId="5635441C" w:rsidR="005D552D" w:rsidRDefault="005D552D" w:rsidP="00DB16C5">
      <w:pPr>
        <w:ind w:left="567"/>
        <w:rPr>
          <w:rFonts w:asciiTheme="majorHAnsi" w:eastAsiaTheme="majorEastAsia" w:hAnsiTheme="majorHAnsi" w:cstheme="majorBidi"/>
          <w:b/>
          <w:bCs/>
          <w:color w:val="2F5496" w:themeColor="accent1" w:themeShade="BF"/>
          <w:sz w:val="30"/>
          <w:szCs w:val="30"/>
        </w:rPr>
      </w:pPr>
      <w:r w:rsidRPr="00AB46B0">
        <w:rPr>
          <w:rFonts w:ascii="Calibri" w:hAnsi="Calibri" w:cs="Calibri"/>
          <w:b/>
          <w:bCs/>
          <w:noProof/>
          <w:sz w:val="23"/>
          <w:szCs w:val="23"/>
          <w:lang w:eastAsia="en-GB"/>
        </w:rPr>
        <mc:AlternateContent>
          <mc:Choice Requires="wps">
            <w:drawing>
              <wp:anchor distT="0" distB="0" distL="114300" distR="114300" simplePos="0" relativeHeight="251663360" behindDoc="0" locked="0" layoutInCell="1" allowOverlap="1" wp14:anchorId="442964A4" wp14:editId="2C42251C">
                <wp:simplePos x="0" y="0"/>
                <wp:positionH relativeFrom="column">
                  <wp:posOffset>153670</wp:posOffset>
                </wp:positionH>
                <wp:positionV relativeFrom="paragraph">
                  <wp:posOffset>292512</wp:posOffset>
                </wp:positionV>
                <wp:extent cx="6043525" cy="6501046"/>
                <wp:effectExtent l="0" t="0" r="14605" b="14605"/>
                <wp:wrapNone/>
                <wp:docPr id="1" name="Text Box 1"/>
                <wp:cNvGraphicFramePr/>
                <a:graphic xmlns:a="http://schemas.openxmlformats.org/drawingml/2006/main">
                  <a:graphicData uri="http://schemas.microsoft.com/office/word/2010/wordprocessingShape">
                    <wps:wsp>
                      <wps:cNvSpPr txBox="1"/>
                      <wps:spPr>
                        <a:xfrm>
                          <a:off x="0" y="0"/>
                          <a:ext cx="6043525" cy="6501046"/>
                        </a:xfrm>
                        <a:prstGeom prst="rect">
                          <a:avLst/>
                        </a:prstGeom>
                        <a:solidFill>
                          <a:schemeClr val="bg1">
                            <a:lumMod val="95000"/>
                          </a:schemeClr>
                        </a:solidFill>
                        <a:ln w="6350">
                          <a:solidFill>
                            <a:prstClr val="black"/>
                          </a:solidFill>
                        </a:ln>
                      </wps:spPr>
                      <wps:txbx>
                        <w:txbxContent>
                          <w:p w14:paraId="30510ED2" w14:textId="4E465BF1" w:rsidR="00A70BD8" w:rsidRPr="00864090" w:rsidRDefault="00A70BD8" w:rsidP="005D552D">
                            <w:pPr>
                              <w:pStyle w:val="Heading2"/>
                              <w:jc w:val="center"/>
                              <w:rPr>
                                <w:b/>
                                <w:bCs/>
                                <w:color w:val="588392"/>
                                <w:sz w:val="30"/>
                                <w:szCs w:val="30"/>
                              </w:rPr>
                            </w:pPr>
                            <w:bookmarkStart w:id="32" w:name="_Toc50019554"/>
                            <w:bookmarkStart w:id="33" w:name="_Toc49932076"/>
                            <w:r w:rsidRPr="00864090">
                              <w:rPr>
                                <w:b/>
                                <w:bCs/>
                                <w:color w:val="588392"/>
                                <w:sz w:val="30"/>
                                <w:szCs w:val="30"/>
                              </w:rPr>
                              <w:t xml:space="preserve">What does </w:t>
                            </w:r>
                            <w:r>
                              <w:rPr>
                                <w:b/>
                                <w:bCs/>
                                <w:color w:val="588392"/>
                                <w:sz w:val="30"/>
                                <w:szCs w:val="30"/>
                              </w:rPr>
                              <w:t>D</w:t>
                            </w:r>
                            <w:r w:rsidRPr="00864090">
                              <w:rPr>
                                <w:b/>
                                <w:bCs/>
                                <w:color w:val="588392"/>
                                <w:sz w:val="30"/>
                                <w:szCs w:val="30"/>
                              </w:rPr>
                              <w:t xml:space="preserve">ecolonisation </w:t>
                            </w:r>
                            <w:r>
                              <w:rPr>
                                <w:b/>
                                <w:bCs/>
                                <w:color w:val="588392"/>
                                <w:sz w:val="30"/>
                                <w:szCs w:val="30"/>
                              </w:rPr>
                              <w:t>M</w:t>
                            </w:r>
                            <w:r w:rsidRPr="00864090">
                              <w:rPr>
                                <w:b/>
                                <w:bCs/>
                                <w:color w:val="588392"/>
                                <w:sz w:val="30"/>
                                <w:szCs w:val="30"/>
                              </w:rPr>
                              <w:t>ean</w:t>
                            </w:r>
                            <w:bookmarkEnd w:id="32"/>
                            <w:r w:rsidRPr="00864090">
                              <w:rPr>
                                <w:b/>
                                <w:bCs/>
                                <w:color w:val="588392"/>
                                <w:sz w:val="30"/>
                                <w:szCs w:val="30"/>
                              </w:rPr>
                              <w:t xml:space="preserve"> </w:t>
                            </w:r>
                          </w:p>
                          <w:p w14:paraId="58D33346" w14:textId="6F6B7CAA" w:rsidR="00A70BD8" w:rsidRPr="00864090" w:rsidRDefault="00A70BD8" w:rsidP="005D552D">
                            <w:pPr>
                              <w:pStyle w:val="Heading2"/>
                              <w:jc w:val="center"/>
                              <w:rPr>
                                <w:b/>
                                <w:bCs/>
                                <w:color w:val="588392"/>
                                <w:sz w:val="30"/>
                                <w:szCs w:val="30"/>
                              </w:rPr>
                            </w:pPr>
                            <w:bookmarkStart w:id="34" w:name="_Toc50019555"/>
                            <w:r w:rsidRPr="00864090">
                              <w:rPr>
                                <w:b/>
                                <w:bCs/>
                                <w:color w:val="588392"/>
                                <w:sz w:val="30"/>
                                <w:szCs w:val="30"/>
                              </w:rPr>
                              <w:t xml:space="preserve">When it </w:t>
                            </w:r>
                            <w:r>
                              <w:rPr>
                                <w:b/>
                                <w:bCs/>
                                <w:color w:val="588392"/>
                                <w:sz w:val="30"/>
                                <w:szCs w:val="30"/>
                              </w:rPr>
                              <w:t>C</w:t>
                            </w:r>
                            <w:r w:rsidRPr="00864090">
                              <w:rPr>
                                <w:b/>
                                <w:bCs/>
                                <w:color w:val="588392"/>
                                <w:sz w:val="30"/>
                                <w:szCs w:val="30"/>
                              </w:rPr>
                              <w:t xml:space="preserve">omes to the </w:t>
                            </w:r>
                            <w:r>
                              <w:rPr>
                                <w:b/>
                                <w:bCs/>
                                <w:color w:val="588392"/>
                                <w:sz w:val="30"/>
                                <w:szCs w:val="30"/>
                              </w:rPr>
                              <w:t>S</w:t>
                            </w:r>
                            <w:r w:rsidRPr="00864090">
                              <w:rPr>
                                <w:b/>
                                <w:bCs/>
                                <w:color w:val="588392"/>
                                <w:sz w:val="30"/>
                                <w:szCs w:val="30"/>
                              </w:rPr>
                              <w:t xml:space="preserve">tudy of </w:t>
                            </w:r>
                            <w:r>
                              <w:rPr>
                                <w:b/>
                                <w:bCs/>
                                <w:color w:val="588392"/>
                                <w:sz w:val="30"/>
                                <w:szCs w:val="30"/>
                              </w:rPr>
                              <w:t>A</w:t>
                            </w:r>
                            <w:r w:rsidRPr="00864090">
                              <w:rPr>
                                <w:b/>
                                <w:bCs/>
                                <w:color w:val="588392"/>
                                <w:sz w:val="30"/>
                                <w:szCs w:val="30"/>
                              </w:rPr>
                              <w:t>frica?</w:t>
                            </w:r>
                            <w:bookmarkEnd w:id="34"/>
                            <w:r w:rsidRPr="00864090">
                              <w:rPr>
                                <w:b/>
                                <w:bCs/>
                                <w:color w:val="588392"/>
                                <w:sz w:val="30"/>
                                <w:szCs w:val="30"/>
                              </w:rPr>
                              <w:t xml:space="preserve"> </w:t>
                            </w:r>
                          </w:p>
                          <w:p w14:paraId="5D25D696" w14:textId="021E5DEB" w:rsidR="00A70BD8" w:rsidRPr="00864090" w:rsidRDefault="00A70BD8" w:rsidP="005D552D">
                            <w:pPr>
                              <w:pStyle w:val="Heading2"/>
                              <w:jc w:val="center"/>
                              <w:rPr>
                                <w:color w:val="588392"/>
                                <w:sz w:val="28"/>
                                <w:szCs w:val="28"/>
                              </w:rPr>
                            </w:pPr>
                            <w:bookmarkStart w:id="35" w:name="_Toc50019556"/>
                            <w:r w:rsidRPr="00864090">
                              <w:rPr>
                                <w:color w:val="588392"/>
                                <w:sz w:val="28"/>
                                <w:szCs w:val="28"/>
                              </w:rPr>
                              <w:t xml:space="preserve">Nic </w:t>
                            </w:r>
                            <w:r>
                              <w:rPr>
                                <w:color w:val="588392"/>
                                <w:sz w:val="28"/>
                                <w:szCs w:val="28"/>
                              </w:rPr>
                              <w:t>C</w:t>
                            </w:r>
                            <w:r w:rsidRPr="00864090">
                              <w:rPr>
                                <w:color w:val="588392"/>
                                <w:sz w:val="28"/>
                                <w:szCs w:val="28"/>
                              </w:rPr>
                              <w:t>heeseman</w:t>
                            </w:r>
                            <w:bookmarkEnd w:id="33"/>
                            <w:bookmarkEnd w:id="35"/>
                          </w:p>
                          <w:p w14:paraId="0FA60FDD" w14:textId="77777777" w:rsidR="00A70BD8" w:rsidRDefault="00A70BD8" w:rsidP="005D552D">
                            <w:pPr>
                              <w:spacing w:after="120"/>
                              <w:jc w:val="both"/>
                              <w:rPr>
                                <w:rFonts w:ascii="Calibri" w:hAnsi="Calibri" w:cs="Calibri"/>
                                <w:color w:val="000000" w:themeColor="text1"/>
                                <w:sz w:val="22"/>
                                <w:szCs w:val="22"/>
                              </w:rPr>
                            </w:pPr>
                          </w:p>
                          <w:p w14:paraId="4ED9E093" w14:textId="602F0BD3"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The debate about decolonizing knowledge is particularly rich and important in the African context. It revolves around three main imperative: first, the need to ensure that African voices are fully represented on reading lists and in public debates; second, the importance of ensuring that African cases and examples are represented in survey courses of world politics and international relations; third, the necessity of teaching about African issues in a way that reveals, rather than elides, global knowledge economic inequalities and the damage that these can do to African societies. At all times, the focus should be on engaging “with Africa as a place of intellectual production in its own right” (</w:t>
                            </w:r>
                            <w:hyperlink r:id="rId45" w:history="1">
                              <w:r w:rsidRPr="005D552D">
                                <w:rPr>
                                  <w:rStyle w:val="Hyperlink"/>
                                  <w:rFonts w:ascii="Calibri" w:hAnsi="Calibri" w:cs="Calibri"/>
                                  <w:sz w:val="23"/>
                                  <w:szCs w:val="23"/>
                                </w:rPr>
                                <w:t>Nolte 2018</w:t>
                              </w:r>
                            </w:hyperlink>
                            <w:r w:rsidRPr="005D552D">
                              <w:rPr>
                                <w:rFonts w:ascii="Calibri" w:hAnsi="Calibri" w:cs="Calibri"/>
                                <w:sz w:val="23"/>
                                <w:szCs w:val="23"/>
                              </w:rPr>
                              <w:t>).</w:t>
                            </w:r>
                          </w:p>
                          <w:p w14:paraId="0992A270" w14:textId="7B56F314"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 xml:space="preserve">Each of these imperatives needs to be thought about carefully. When it comes to the first, this should not simply be a case of adding African authors based in Western institution to reading lists, but must also involve a more far-reaching attempt to engage with those working in the continent. It is also important to note that promoting African voices will often mean being willing to consider the validity – indeed the value added – of alternative methodologies and intellectual frames. Similarly, the second imperative requires us to not only add African case studies into existing courses, but to avoid exoticizing the African experience and to make sure that we draw out the important way in which African cases contribute to theory development in the social sciences. </w:t>
                            </w:r>
                          </w:p>
                          <w:p w14:paraId="7965157F" w14:textId="51B83A41"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Finally, to teach in a way that reveals power imbalances does not mean that we should adopt a particular Marxist or Feminist critique and push this through our classes, but rather that we should be constantly encouraging students to question why things are the way that they are – and to be critically engaged with everyday political processes. This means asking tough questions and being self-critical. An excellent discussion point, for example, would be to investigate the role of countries such as the UK – both historically and today – in constructing and sustaining the global inequalities that have so benefitted institutions such as the University of Birmingham.</w:t>
                            </w:r>
                          </w:p>
                          <w:p w14:paraId="35F69542" w14:textId="065C9FA4"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 xml:space="preserve">For an excellent discussion of these issues see this </w:t>
                            </w:r>
                            <w:hyperlink r:id="rId46" w:history="1">
                              <w:r w:rsidRPr="005D552D">
                                <w:rPr>
                                  <w:rStyle w:val="Hyperlink"/>
                                  <w:rFonts w:ascii="Calibri" w:hAnsi="Calibri" w:cs="Calibri"/>
                                  <w:sz w:val="23"/>
                                  <w:szCs w:val="23"/>
                                </w:rPr>
                                <w:t>talk</w:t>
                              </w:r>
                            </w:hyperlink>
                            <w:r w:rsidRPr="005D552D">
                              <w:rPr>
                                <w:rFonts w:ascii="Calibri" w:hAnsi="Calibri" w:cs="Calibri"/>
                                <w:sz w:val="23"/>
                                <w:szCs w:val="23"/>
                              </w:rPr>
                              <w:t xml:space="preserve"> and </w:t>
                            </w:r>
                            <w:hyperlink r:id="rId47" w:history="1">
                              <w:r w:rsidRPr="005D552D">
                                <w:rPr>
                                  <w:rStyle w:val="Hyperlink"/>
                                  <w:rFonts w:ascii="Calibri" w:hAnsi="Calibri" w:cs="Calibri"/>
                                  <w:sz w:val="23"/>
                                  <w:szCs w:val="23"/>
                                </w:rPr>
                                <w:t>paper</w:t>
                              </w:r>
                            </w:hyperlink>
                            <w:r w:rsidRPr="005D552D">
                              <w:rPr>
                                <w:rFonts w:ascii="Calibri" w:hAnsi="Calibri" w:cs="Calibri"/>
                                <w:sz w:val="23"/>
                                <w:szCs w:val="23"/>
                              </w:rPr>
                              <w:t xml:space="preserve"> by Insa Nolte, Head of the Department of African Studies and Anthropology.</w:t>
                            </w:r>
                          </w:p>
                          <w:p w14:paraId="4FC8E303" w14:textId="77777777" w:rsidR="00A70BD8" w:rsidRPr="005D552D" w:rsidRDefault="00A70BD8" w:rsidP="005D552D">
                            <w:pPr>
                              <w:spacing w:after="120"/>
                              <w:jc w:val="both"/>
                              <w:rPr>
                                <w:rFonts w:ascii="Calibri" w:hAnsi="Calibri" w:cs="Calibri"/>
                                <w:sz w:val="23"/>
                                <w:szCs w:val="23"/>
                              </w:rPr>
                            </w:pPr>
                          </w:p>
                          <w:p w14:paraId="0528B9CA" w14:textId="77777777" w:rsidR="00A70BD8" w:rsidRPr="00365BBA" w:rsidRDefault="00A70BD8" w:rsidP="005D552D">
                            <w:pPr>
                              <w:spacing w:after="120"/>
                              <w:jc w:val="both"/>
                              <w:rPr>
                                <w:rFonts w:ascii="Calibri" w:hAnsi="Calibri" w:cs="Calibri"/>
                                <w:sz w:val="23"/>
                                <w:szCs w:val="23"/>
                              </w:rPr>
                            </w:pPr>
                          </w:p>
                          <w:p w14:paraId="066C1D74" w14:textId="77777777" w:rsidR="00A70BD8" w:rsidRDefault="00A70BD8" w:rsidP="005D55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2964A4" id="Text Box 1" o:spid="_x0000_s1028" type="#_x0000_t202" style="position:absolute;left:0;text-align:left;margin-left:12.1pt;margin-top:23.05pt;width:475.85pt;height:5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" fillcolor="#f2f2f2 [3052]" strokeweight=".5pt">
                <v:textbox>
                  <w:txbxContent>
                    <w:p w14:paraId="30510ED2" w14:textId="4E465BF1" w:rsidR="00A70BD8" w:rsidRPr="00864090" w:rsidRDefault="00A70BD8" w:rsidP="005D552D">
                      <w:pPr>
                        <w:pStyle w:val="Heading2"/>
                        <w:jc w:val="center"/>
                        <w:rPr>
                          <w:b/>
                          <w:bCs/>
                          <w:color w:val="588392"/>
                          <w:sz w:val="30"/>
                          <w:szCs w:val="30"/>
                        </w:rPr>
                      </w:pPr>
                      <w:bookmarkStart w:id="41" w:name="_Toc50019554"/>
                      <w:bookmarkStart w:id="42" w:name="_Toc49932076"/>
                      <w:r w:rsidRPr="00864090">
                        <w:rPr>
                          <w:b/>
                          <w:bCs/>
                          <w:color w:val="588392"/>
                          <w:sz w:val="30"/>
                          <w:szCs w:val="30"/>
                        </w:rPr>
                        <w:t xml:space="preserve">What does </w:t>
                      </w:r>
                      <w:r>
                        <w:rPr>
                          <w:b/>
                          <w:bCs/>
                          <w:color w:val="588392"/>
                          <w:sz w:val="30"/>
                          <w:szCs w:val="30"/>
                        </w:rPr>
                        <w:t>D</w:t>
                      </w:r>
                      <w:r w:rsidRPr="00864090">
                        <w:rPr>
                          <w:b/>
                          <w:bCs/>
                          <w:color w:val="588392"/>
                          <w:sz w:val="30"/>
                          <w:szCs w:val="30"/>
                        </w:rPr>
                        <w:t xml:space="preserve">ecolonisation </w:t>
                      </w:r>
                      <w:r>
                        <w:rPr>
                          <w:b/>
                          <w:bCs/>
                          <w:color w:val="588392"/>
                          <w:sz w:val="30"/>
                          <w:szCs w:val="30"/>
                        </w:rPr>
                        <w:t>M</w:t>
                      </w:r>
                      <w:r w:rsidRPr="00864090">
                        <w:rPr>
                          <w:b/>
                          <w:bCs/>
                          <w:color w:val="588392"/>
                          <w:sz w:val="30"/>
                          <w:szCs w:val="30"/>
                        </w:rPr>
                        <w:t>ean</w:t>
                      </w:r>
                      <w:bookmarkEnd w:id="41"/>
                      <w:r w:rsidRPr="00864090">
                        <w:rPr>
                          <w:b/>
                          <w:bCs/>
                          <w:color w:val="588392"/>
                          <w:sz w:val="30"/>
                          <w:szCs w:val="30"/>
                        </w:rPr>
                        <w:t xml:space="preserve"> </w:t>
                      </w:r>
                    </w:p>
                    <w:p w14:paraId="58D33346" w14:textId="6F6B7CAA" w:rsidR="00A70BD8" w:rsidRPr="00864090" w:rsidRDefault="00A70BD8" w:rsidP="005D552D">
                      <w:pPr>
                        <w:pStyle w:val="Heading2"/>
                        <w:jc w:val="center"/>
                        <w:rPr>
                          <w:b/>
                          <w:bCs/>
                          <w:color w:val="588392"/>
                          <w:sz w:val="30"/>
                          <w:szCs w:val="30"/>
                        </w:rPr>
                      </w:pPr>
                      <w:bookmarkStart w:id="43" w:name="_Toc50019555"/>
                      <w:r w:rsidRPr="00864090">
                        <w:rPr>
                          <w:b/>
                          <w:bCs/>
                          <w:color w:val="588392"/>
                          <w:sz w:val="30"/>
                          <w:szCs w:val="30"/>
                        </w:rPr>
                        <w:t xml:space="preserve">When it </w:t>
                      </w:r>
                      <w:r>
                        <w:rPr>
                          <w:b/>
                          <w:bCs/>
                          <w:color w:val="588392"/>
                          <w:sz w:val="30"/>
                          <w:szCs w:val="30"/>
                        </w:rPr>
                        <w:t>C</w:t>
                      </w:r>
                      <w:r w:rsidRPr="00864090">
                        <w:rPr>
                          <w:b/>
                          <w:bCs/>
                          <w:color w:val="588392"/>
                          <w:sz w:val="30"/>
                          <w:szCs w:val="30"/>
                        </w:rPr>
                        <w:t xml:space="preserve">omes to the </w:t>
                      </w:r>
                      <w:r>
                        <w:rPr>
                          <w:b/>
                          <w:bCs/>
                          <w:color w:val="588392"/>
                          <w:sz w:val="30"/>
                          <w:szCs w:val="30"/>
                        </w:rPr>
                        <w:t>S</w:t>
                      </w:r>
                      <w:r w:rsidRPr="00864090">
                        <w:rPr>
                          <w:b/>
                          <w:bCs/>
                          <w:color w:val="588392"/>
                          <w:sz w:val="30"/>
                          <w:szCs w:val="30"/>
                        </w:rPr>
                        <w:t xml:space="preserve">tudy of </w:t>
                      </w:r>
                      <w:r>
                        <w:rPr>
                          <w:b/>
                          <w:bCs/>
                          <w:color w:val="588392"/>
                          <w:sz w:val="30"/>
                          <w:szCs w:val="30"/>
                        </w:rPr>
                        <w:t>A</w:t>
                      </w:r>
                      <w:r w:rsidRPr="00864090">
                        <w:rPr>
                          <w:b/>
                          <w:bCs/>
                          <w:color w:val="588392"/>
                          <w:sz w:val="30"/>
                          <w:szCs w:val="30"/>
                        </w:rPr>
                        <w:t>frica?</w:t>
                      </w:r>
                      <w:bookmarkEnd w:id="43"/>
                      <w:r w:rsidRPr="00864090">
                        <w:rPr>
                          <w:b/>
                          <w:bCs/>
                          <w:color w:val="588392"/>
                          <w:sz w:val="30"/>
                          <w:szCs w:val="30"/>
                        </w:rPr>
                        <w:t xml:space="preserve"> </w:t>
                      </w:r>
                    </w:p>
                    <w:p w14:paraId="5D25D696" w14:textId="021E5DEB" w:rsidR="00A70BD8" w:rsidRPr="00864090" w:rsidRDefault="00A70BD8" w:rsidP="005D552D">
                      <w:pPr>
                        <w:pStyle w:val="Heading2"/>
                        <w:jc w:val="center"/>
                        <w:rPr>
                          <w:color w:val="588392"/>
                          <w:sz w:val="28"/>
                          <w:szCs w:val="28"/>
                        </w:rPr>
                      </w:pPr>
                      <w:bookmarkStart w:id="44" w:name="_Toc50019556"/>
                      <w:r w:rsidRPr="00864090">
                        <w:rPr>
                          <w:color w:val="588392"/>
                          <w:sz w:val="28"/>
                          <w:szCs w:val="28"/>
                        </w:rPr>
                        <w:t xml:space="preserve">Nic </w:t>
                      </w:r>
                      <w:r>
                        <w:rPr>
                          <w:color w:val="588392"/>
                          <w:sz w:val="28"/>
                          <w:szCs w:val="28"/>
                        </w:rPr>
                        <w:t>C</w:t>
                      </w:r>
                      <w:r w:rsidRPr="00864090">
                        <w:rPr>
                          <w:color w:val="588392"/>
                          <w:sz w:val="28"/>
                          <w:szCs w:val="28"/>
                        </w:rPr>
                        <w:t>heeseman</w:t>
                      </w:r>
                      <w:bookmarkEnd w:id="42"/>
                      <w:bookmarkEnd w:id="44"/>
                    </w:p>
                    <w:p w14:paraId="0FA60FDD" w14:textId="77777777" w:rsidR="00A70BD8" w:rsidRDefault="00A70BD8" w:rsidP="005D552D">
                      <w:pPr>
                        <w:spacing w:after="120"/>
                        <w:jc w:val="both"/>
                        <w:rPr>
                          <w:rFonts w:ascii="Calibri" w:hAnsi="Calibri" w:cs="Calibri"/>
                          <w:color w:val="000000" w:themeColor="text1"/>
                          <w:sz w:val="22"/>
                          <w:szCs w:val="22"/>
                        </w:rPr>
                      </w:pPr>
                    </w:p>
                    <w:p w14:paraId="4ED9E093" w14:textId="602F0BD3"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The debate about decolonizing knowledge is particularly rich and important in the African context. It revolves around three main imperative: first, the need to ensure that African voices are fully represented on reading lists and in public debates; second, the importance of ensuring that African cases and examples are represented in survey courses of world politics and international relations; third, the necessity of teaching about African issues in a way that reveals, rather than elides, global knowledge economic inequalities and the damage that these can do to African societies. At all times, the focus should be on engaging “with Africa as a place of intellectual production in its own right” (</w:t>
                      </w:r>
                      <w:hyperlink r:id="rId48" w:history="1">
                        <w:r w:rsidRPr="005D552D">
                          <w:rPr>
                            <w:rStyle w:val="Hyperlink"/>
                            <w:rFonts w:ascii="Calibri" w:hAnsi="Calibri" w:cs="Calibri"/>
                            <w:sz w:val="23"/>
                            <w:szCs w:val="23"/>
                          </w:rPr>
                          <w:t>Nolte 2018</w:t>
                        </w:r>
                      </w:hyperlink>
                      <w:r w:rsidRPr="005D552D">
                        <w:rPr>
                          <w:rFonts w:ascii="Calibri" w:hAnsi="Calibri" w:cs="Calibri"/>
                          <w:sz w:val="23"/>
                          <w:szCs w:val="23"/>
                        </w:rPr>
                        <w:t>).</w:t>
                      </w:r>
                    </w:p>
                    <w:p w14:paraId="0992A270" w14:textId="7B56F314"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 xml:space="preserve">Each of these imperatives needs to be thought about carefully. When it comes to the first, this should not simply be a case of adding African authors based in Western institution to reading </w:t>
                      </w:r>
                      <w:proofErr w:type="gramStart"/>
                      <w:r w:rsidRPr="005D552D">
                        <w:rPr>
                          <w:rFonts w:ascii="Calibri" w:hAnsi="Calibri" w:cs="Calibri"/>
                          <w:sz w:val="23"/>
                          <w:szCs w:val="23"/>
                        </w:rPr>
                        <w:t>lists, but</w:t>
                      </w:r>
                      <w:proofErr w:type="gramEnd"/>
                      <w:r w:rsidRPr="005D552D">
                        <w:rPr>
                          <w:rFonts w:ascii="Calibri" w:hAnsi="Calibri" w:cs="Calibri"/>
                          <w:sz w:val="23"/>
                          <w:szCs w:val="23"/>
                        </w:rPr>
                        <w:t xml:space="preserve"> must also involve a more far-reaching attempt to engage with those working in the continent. It is also important to note that promoting African voices will often mean being willing to consider the validity – indeed the value added – of alternative methodologies and intellectual frames. Similarly, the second imperative requires us to not only add African case studies into existing courses, but to avoid exoticizing the African experience and to make sure that we draw out the important way in which African cases contribute to theory development in the social sciences. </w:t>
                      </w:r>
                    </w:p>
                    <w:p w14:paraId="7965157F" w14:textId="51B83A41"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Finally, to teach in a way that reveals power imbalances does not mean that we should adopt a particular Marxist or Feminist critique and push this through our classes, but rather that we should be constantly encouraging students to question why things are the way that they are – and to be critically engaged with everyday political processes. This means asking tough questions and being self-critical. An excellent discussion point, for example, would be to investigate the role of countries such as the UK – both historically and today – in constructing and sustaining the global inequalities that have so benefitted institutions such as the University of Birmingham.</w:t>
                      </w:r>
                    </w:p>
                    <w:p w14:paraId="35F69542" w14:textId="065C9FA4" w:rsidR="00A70BD8" w:rsidRPr="005D552D" w:rsidRDefault="00A70BD8" w:rsidP="005D552D">
                      <w:pPr>
                        <w:spacing w:after="120"/>
                        <w:jc w:val="both"/>
                        <w:rPr>
                          <w:rFonts w:ascii="Calibri" w:hAnsi="Calibri" w:cs="Calibri"/>
                          <w:sz w:val="23"/>
                          <w:szCs w:val="23"/>
                        </w:rPr>
                      </w:pPr>
                      <w:r w:rsidRPr="005D552D">
                        <w:rPr>
                          <w:rFonts w:ascii="Calibri" w:hAnsi="Calibri" w:cs="Calibri"/>
                          <w:sz w:val="23"/>
                          <w:szCs w:val="23"/>
                        </w:rPr>
                        <w:t xml:space="preserve">For an excellent discussion of these issues see this </w:t>
                      </w:r>
                      <w:hyperlink r:id="rId49" w:history="1">
                        <w:r w:rsidRPr="005D552D">
                          <w:rPr>
                            <w:rStyle w:val="Hyperlink"/>
                            <w:rFonts w:ascii="Calibri" w:hAnsi="Calibri" w:cs="Calibri"/>
                            <w:sz w:val="23"/>
                            <w:szCs w:val="23"/>
                          </w:rPr>
                          <w:t>talk</w:t>
                        </w:r>
                      </w:hyperlink>
                      <w:r w:rsidRPr="005D552D">
                        <w:rPr>
                          <w:rFonts w:ascii="Calibri" w:hAnsi="Calibri" w:cs="Calibri"/>
                          <w:sz w:val="23"/>
                          <w:szCs w:val="23"/>
                        </w:rPr>
                        <w:t xml:space="preserve"> and </w:t>
                      </w:r>
                      <w:hyperlink r:id="rId50" w:history="1">
                        <w:r w:rsidRPr="005D552D">
                          <w:rPr>
                            <w:rStyle w:val="Hyperlink"/>
                            <w:rFonts w:ascii="Calibri" w:hAnsi="Calibri" w:cs="Calibri"/>
                            <w:sz w:val="23"/>
                            <w:szCs w:val="23"/>
                          </w:rPr>
                          <w:t>paper</w:t>
                        </w:r>
                      </w:hyperlink>
                      <w:r w:rsidRPr="005D552D">
                        <w:rPr>
                          <w:rFonts w:ascii="Calibri" w:hAnsi="Calibri" w:cs="Calibri"/>
                          <w:sz w:val="23"/>
                          <w:szCs w:val="23"/>
                        </w:rPr>
                        <w:t xml:space="preserve"> by </w:t>
                      </w:r>
                      <w:proofErr w:type="spellStart"/>
                      <w:r w:rsidRPr="005D552D">
                        <w:rPr>
                          <w:rFonts w:ascii="Calibri" w:hAnsi="Calibri" w:cs="Calibri"/>
                          <w:sz w:val="23"/>
                          <w:szCs w:val="23"/>
                        </w:rPr>
                        <w:t>Insa</w:t>
                      </w:r>
                      <w:proofErr w:type="spellEnd"/>
                      <w:r w:rsidRPr="005D552D">
                        <w:rPr>
                          <w:rFonts w:ascii="Calibri" w:hAnsi="Calibri" w:cs="Calibri"/>
                          <w:sz w:val="23"/>
                          <w:szCs w:val="23"/>
                        </w:rPr>
                        <w:t xml:space="preserve"> Nolte, Head of the Department of African Studies and Anthropology.</w:t>
                      </w:r>
                    </w:p>
                    <w:p w14:paraId="4FC8E303" w14:textId="77777777" w:rsidR="00A70BD8" w:rsidRPr="005D552D" w:rsidRDefault="00A70BD8" w:rsidP="005D552D">
                      <w:pPr>
                        <w:spacing w:after="120"/>
                        <w:jc w:val="both"/>
                        <w:rPr>
                          <w:rFonts w:ascii="Calibri" w:hAnsi="Calibri" w:cs="Calibri"/>
                          <w:sz w:val="23"/>
                          <w:szCs w:val="23"/>
                        </w:rPr>
                      </w:pPr>
                    </w:p>
                    <w:p w14:paraId="0528B9CA" w14:textId="77777777" w:rsidR="00A70BD8" w:rsidRPr="00365BBA" w:rsidRDefault="00A70BD8" w:rsidP="005D552D">
                      <w:pPr>
                        <w:spacing w:after="120"/>
                        <w:jc w:val="both"/>
                        <w:rPr>
                          <w:rFonts w:ascii="Calibri" w:hAnsi="Calibri" w:cs="Calibri"/>
                          <w:sz w:val="23"/>
                          <w:szCs w:val="23"/>
                        </w:rPr>
                      </w:pPr>
                    </w:p>
                    <w:p w14:paraId="066C1D74" w14:textId="77777777" w:rsidR="00A70BD8" w:rsidRDefault="00A70BD8" w:rsidP="005D552D"/>
                  </w:txbxContent>
                </v:textbox>
              </v:shape>
            </w:pict>
          </mc:Fallback>
        </mc:AlternateContent>
      </w:r>
      <w:r>
        <w:rPr>
          <w:b/>
          <w:bCs/>
          <w:sz w:val="30"/>
          <w:szCs w:val="30"/>
        </w:rPr>
        <w:br w:type="page"/>
      </w:r>
    </w:p>
    <w:p w14:paraId="2A087853" w14:textId="12C63AE9" w:rsidR="00864090" w:rsidRDefault="00365BBA" w:rsidP="00E85D72">
      <w:pPr>
        <w:pStyle w:val="Heading2"/>
        <w:ind w:right="335" w:firstLine="567"/>
        <w:rPr>
          <w:b/>
          <w:bCs/>
          <w:color w:val="588392"/>
          <w:sz w:val="30"/>
          <w:szCs w:val="30"/>
        </w:rPr>
      </w:pPr>
      <w:bookmarkStart w:id="36" w:name="_Toc50019557"/>
      <w:bookmarkStart w:id="37" w:name="_Toc49932077"/>
      <w:r w:rsidRPr="00864090">
        <w:rPr>
          <w:b/>
          <w:bCs/>
          <w:color w:val="588392"/>
          <w:sz w:val="30"/>
          <w:szCs w:val="30"/>
        </w:rPr>
        <w:t>Planning for a “</w:t>
      </w:r>
      <w:r w:rsidR="00864090">
        <w:rPr>
          <w:b/>
          <w:bCs/>
          <w:color w:val="588392"/>
          <w:sz w:val="30"/>
          <w:szCs w:val="30"/>
        </w:rPr>
        <w:t>D</w:t>
      </w:r>
      <w:r w:rsidRPr="00864090">
        <w:rPr>
          <w:b/>
          <w:bCs/>
          <w:color w:val="588392"/>
          <w:sz w:val="30"/>
          <w:szCs w:val="30"/>
        </w:rPr>
        <w:t xml:space="preserve">ecolonised” </w:t>
      </w:r>
      <w:r w:rsidR="00864090">
        <w:rPr>
          <w:b/>
          <w:bCs/>
          <w:color w:val="588392"/>
          <w:sz w:val="30"/>
          <w:szCs w:val="30"/>
        </w:rPr>
        <w:t>M</w:t>
      </w:r>
      <w:r w:rsidRPr="00864090">
        <w:rPr>
          <w:b/>
          <w:bCs/>
          <w:color w:val="588392"/>
          <w:sz w:val="30"/>
          <w:szCs w:val="30"/>
        </w:rPr>
        <w:t xml:space="preserve">odule in </w:t>
      </w:r>
      <w:r w:rsidR="008963F3" w:rsidRPr="00864090">
        <w:rPr>
          <w:b/>
          <w:bCs/>
          <w:color w:val="588392"/>
          <w:sz w:val="30"/>
          <w:szCs w:val="30"/>
        </w:rPr>
        <w:t>PAM</w:t>
      </w:r>
      <w:bookmarkEnd w:id="36"/>
      <w:r w:rsidR="008963F3" w:rsidRPr="00864090">
        <w:rPr>
          <w:b/>
          <w:bCs/>
          <w:color w:val="588392"/>
          <w:sz w:val="30"/>
          <w:szCs w:val="30"/>
        </w:rPr>
        <w:t xml:space="preserve"> </w:t>
      </w:r>
    </w:p>
    <w:p w14:paraId="6843239D" w14:textId="18B9C6B3" w:rsidR="00365BBA" w:rsidRPr="00E85D72" w:rsidRDefault="008963F3" w:rsidP="003F4EE3">
      <w:pPr>
        <w:pStyle w:val="Heading2"/>
        <w:spacing w:after="120"/>
        <w:ind w:right="333" w:firstLine="567"/>
        <w:rPr>
          <w:color w:val="588392"/>
          <w:sz w:val="28"/>
          <w:szCs w:val="28"/>
        </w:rPr>
      </w:pPr>
      <w:bookmarkStart w:id="38" w:name="_Toc50019558"/>
      <w:r w:rsidRPr="00E85D72">
        <w:rPr>
          <w:color w:val="588392"/>
          <w:sz w:val="28"/>
          <w:szCs w:val="28"/>
        </w:rPr>
        <w:t>Karin Bottom</w:t>
      </w:r>
      <w:bookmarkEnd w:id="37"/>
      <w:bookmarkEnd w:id="38"/>
    </w:p>
    <w:p w14:paraId="6AB0E156" w14:textId="77777777" w:rsidR="00365BBA" w:rsidRPr="00864090" w:rsidRDefault="00365BBA" w:rsidP="003F4EE3">
      <w:pPr>
        <w:ind w:right="333"/>
        <w:rPr>
          <w:rFonts w:ascii="Calibri" w:hAnsi="Calibri" w:cs="Calibri"/>
          <w:b/>
          <w:bCs/>
          <w:sz w:val="28"/>
          <w:szCs w:val="28"/>
        </w:rPr>
      </w:pPr>
    </w:p>
    <w:p w14:paraId="7F36DDC9" w14:textId="77777777" w:rsidR="00033D25" w:rsidRPr="00864090" w:rsidRDefault="00033D25" w:rsidP="003F4EE3">
      <w:pPr>
        <w:spacing w:after="120"/>
        <w:ind w:left="567" w:right="333"/>
        <w:jc w:val="both"/>
        <w:rPr>
          <w:rFonts w:ascii="Calibri" w:hAnsi="Calibri" w:cs="Calibri"/>
          <w:b/>
          <w:bCs/>
        </w:rPr>
      </w:pPr>
      <w:r w:rsidRPr="00864090">
        <w:rPr>
          <w:rFonts w:ascii="Calibri" w:hAnsi="Calibri" w:cs="Calibri"/>
          <w:b/>
          <w:bCs/>
        </w:rPr>
        <w:t xml:space="preserve">Introduction – the need for decolonisation </w:t>
      </w:r>
    </w:p>
    <w:p w14:paraId="25CCED82" w14:textId="77777777" w:rsidR="00033D25" w:rsidRPr="00864090" w:rsidRDefault="00033D25" w:rsidP="003F4EE3">
      <w:pPr>
        <w:spacing w:after="120"/>
        <w:ind w:left="567" w:right="333"/>
        <w:jc w:val="both"/>
        <w:rPr>
          <w:rFonts w:ascii="Calibri" w:eastAsia="Times New Roman" w:hAnsi="Calibri" w:cs="Calibri"/>
        </w:rPr>
      </w:pPr>
      <w:r w:rsidRPr="00864090">
        <w:rPr>
          <w:rFonts w:ascii="Calibri" w:eastAsia="Times New Roman" w:hAnsi="Calibri" w:cs="Calibri"/>
        </w:rPr>
        <w:t>As a discipline, Public Management / Administration (PAM) has been framed by epistemic approaches that elevate national, colonial and parochial (Candler et. al. 2010) traditions. Borne from the ‘Western Enlightenment’ and ‘high modernist ideology’ that marginalised and devalued alternative sources of knowledge (Thadhani, 2005), these perspectives have shaped the content and pedagogy of PAM in Higher Education.</w:t>
      </w:r>
    </w:p>
    <w:p w14:paraId="6B672A7F" w14:textId="4269414B" w:rsidR="00033D25" w:rsidRPr="00864090" w:rsidRDefault="00033D25" w:rsidP="003F4EE3">
      <w:pPr>
        <w:spacing w:after="120"/>
        <w:ind w:left="567" w:right="333"/>
        <w:jc w:val="both"/>
        <w:rPr>
          <w:rFonts w:ascii="Calibri" w:hAnsi="Calibri" w:cs="Calibri"/>
        </w:rPr>
      </w:pPr>
      <w:r w:rsidRPr="00864090">
        <w:rPr>
          <w:rFonts w:ascii="Calibri" w:eastAsia="Times New Roman" w:hAnsi="Calibri" w:cs="Calibri"/>
        </w:rPr>
        <w:t>In the UK, PAM is almost exclusively taught at postgraduate level.  The subject is particularly attractive to international applicants and programmes tend to attract students who seek a career or career advancement in the public services (Fenwick and Mc</w:t>
      </w:r>
      <w:r w:rsidR="00365BBA" w:rsidRPr="00864090">
        <w:rPr>
          <w:rFonts w:ascii="Calibri" w:eastAsia="Times New Roman" w:hAnsi="Calibri" w:cs="Calibri"/>
        </w:rPr>
        <w:t>M</w:t>
      </w:r>
      <w:r w:rsidRPr="00864090">
        <w:rPr>
          <w:rFonts w:ascii="Calibri" w:eastAsia="Times New Roman" w:hAnsi="Calibri" w:cs="Calibri"/>
        </w:rPr>
        <w:t xml:space="preserve">illan, 2013). </w:t>
      </w:r>
      <w:r w:rsidRPr="00864090">
        <w:rPr>
          <w:rFonts w:ascii="Calibri" w:hAnsi="Calibri" w:cs="Calibri"/>
        </w:rPr>
        <w:t xml:space="preserve">Liddle reminds us that UK PAM </w:t>
      </w:r>
      <w:r w:rsidRPr="00864090">
        <w:rPr>
          <w:rFonts w:ascii="Calibri" w:eastAsia="Times New Roman" w:hAnsi="Calibri" w:cs="Calibri"/>
        </w:rPr>
        <w:t xml:space="preserve">programmes have been a casualty of marketization within the Academy and dominated by neoliberal narratives (2017), they have adopted </w:t>
      </w:r>
      <w:r w:rsidR="00365BBA" w:rsidRPr="00864090">
        <w:rPr>
          <w:rFonts w:ascii="Calibri" w:eastAsia="Times New Roman" w:hAnsi="Calibri" w:cs="Calibri"/>
        </w:rPr>
        <w:t>business-oriented</w:t>
      </w:r>
      <w:r w:rsidRPr="00864090">
        <w:rPr>
          <w:rFonts w:ascii="Calibri" w:eastAsia="Times New Roman" w:hAnsi="Calibri" w:cs="Calibri"/>
        </w:rPr>
        <w:t xml:space="preserve"> approaches which have altered the discipline’s taught identity (Fenwick and Mc</w:t>
      </w:r>
      <w:r w:rsidR="00365BBA" w:rsidRPr="00864090">
        <w:rPr>
          <w:rFonts w:ascii="Calibri" w:eastAsia="Times New Roman" w:hAnsi="Calibri" w:cs="Calibri"/>
        </w:rPr>
        <w:t>M</w:t>
      </w:r>
      <w:r w:rsidRPr="00864090">
        <w:rPr>
          <w:rFonts w:ascii="Calibri" w:eastAsia="Times New Roman" w:hAnsi="Calibri" w:cs="Calibri"/>
        </w:rPr>
        <w:t>illan, 2013). In a similar vein, Basheka refers to PAM’s focus on modern paradigms and calls for a broader curriculum that incorporates indigenous traditions and structures (</w:t>
      </w:r>
      <w:r w:rsidRPr="00864090">
        <w:rPr>
          <w:rFonts w:ascii="Calibri" w:hAnsi="Calibri" w:cs="Calibri"/>
        </w:rPr>
        <w:t xml:space="preserve">2012). </w:t>
      </w:r>
      <w:r w:rsidRPr="00864090">
        <w:rPr>
          <w:rFonts w:ascii="Calibri" w:eastAsia="Times New Roman" w:hAnsi="Calibri" w:cs="Calibri"/>
        </w:rPr>
        <w:t>White and Rice advocate for practitioners having a greater appreciation of demographic change and the diverse environment in which they live and (2005, cited in</w:t>
      </w:r>
      <w:r w:rsidRPr="00864090">
        <w:rPr>
          <w:rFonts w:ascii="Calibri" w:hAnsi="Calibri" w:cs="Calibri"/>
        </w:rPr>
        <w:t xml:space="preserve"> Manoharan</w:t>
      </w:r>
      <w:r w:rsidRPr="00864090">
        <w:rPr>
          <w:rFonts w:ascii="Calibri" w:eastAsia="Times New Roman" w:hAnsi="Calibri" w:cs="Calibri"/>
        </w:rPr>
        <w:t xml:space="preserve"> et. al.  2018). Jreisat argues that </w:t>
      </w:r>
      <w:r w:rsidR="00365BBA" w:rsidRPr="00864090">
        <w:rPr>
          <w:rFonts w:ascii="Calibri" w:eastAsia="Times New Roman" w:hAnsi="Calibri" w:cs="Calibri"/>
        </w:rPr>
        <w:t>modern-day public-sector</w:t>
      </w:r>
      <w:r w:rsidRPr="00864090">
        <w:rPr>
          <w:rFonts w:ascii="Calibri" w:eastAsia="Times New Roman" w:hAnsi="Calibri" w:cs="Calibri"/>
        </w:rPr>
        <w:t xml:space="preserve"> leaders must possess cross-national analytical skills (2005) and </w:t>
      </w:r>
      <w:r w:rsidRPr="00864090">
        <w:rPr>
          <w:rFonts w:ascii="Calibri" w:hAnsi="Calibri" w:cs="Calibri"/>
        </w:rPr>
        <w:t>Manoharan</w:t>
      </w:r>
      <w:r w:rsidRPr="00864090">
        <w:rPr>
          <w:rFonts w:ascii="Calibri" w:eastAsia="Times New Roman" w:hAnsi="Calibri" w:cs="Calibri"/>
        </w:rPr>
        <w:t xml:space="preserve"> et. al.  argue for more attention to a comparative element within taught PAM (2018). </w:t>
      </w:r>
      <w:r w:rsidRPr="00864090">
        <w:rPr>
          <w:rFonts w:ascii="Calibri" w:hAnsi="Calibri" w:cs="Calibri"/>
        </w:rPr>
        <w:t xml:space="preserve">Matzslita calls for a </w:t>
      </w:r>
      <w:r w:rsidR="00365BBA" w:rsidRPr="00864090">
        <w:rPr>
          <w:rFonts w:ascii="Calibri" w:hAnsi="Calibri" w:cs="Calibri"/>
        </w:rPr>
        <w:t>decolonised</w:t>
      </w:r>
      <w:r w:rsidRPr="00864090">
        <w:rPr>
          <w:rFonts w:ascii="Calibri" w:hAnsi="Calibri" w:cs="Calibri"/>
        </w:rPr>
        <w:t xml:space="preserve"> approach to PAM and </w:t>
      </w:r>
      <w:r w:rsidRPr="00864090">
        <w:rPr>
          <w:rFonts w:ascii="Calibri" w:eastAsia="Times New Roman" w:hAnsi="Calibri" w:cs="Calibri"/>
        </w:rPr>
        <w:t xml:space="preserve">highlights how students must have </w:t>
      </w:r>
      <w:r w:rsidRPr="00864090">
        <w:rPr>
          <w:rFonts w:ascii="Calibri" w:hAnsi="Calibri" w:cs="Calibri"/>
        </w:rPr>
        <w:t xml:space="preserve">opportunities to reflect on their background (2020) and Carrizales reminds us that taught programmes must </w:t>
      </w:r>
      <w:r w:rsidR="00365BBA" w:rsidRPr="00864090">
        <w:rPr>
          <w:rFonts w:ascii="Calibri" w:hAnsi="Calibri" w:cs="Calibri"/>
        </w:rPr>
        <w:t>instil ‘</w:t>
      </w:r>
      <w:r w:rsidRPr="00864090">
        <w:rPr>
          <w:rFonts w:ascii="Calibri" w:hAnsi="Calibri" w:cs="Calibri"/>
        </w:rPr>
        <w:t xml:space="preserve">cultural competency’ (2010).   </w:t>
      </w:r>
    </w:p>
    <w:p w14:paraId="2BFBB766" w14:textId="5246226F" w:rsidR="00033D25" w:rsidRPr="00864090" w:rsidRDefault="00033D25" w:rsidP="003F4EE3">
      <w:pPr>
        <w:spacing w:after="120"/>
        <w:ind w:left="567" w:right="333"/>
        <w:jc w:val="both"/>
        <w:rPr>
          <w:rFonts w:ascii="Calibri" w:eastAsia="Times New Roman" w:hAnsi="Calibri" w:cs="Calibri"/>
        </w:rPr>
      </w:pPr>
      <w:r w:rsidRPr="00864090">
        <w:rPr>
          <w:rFonts w:ascii="Calibri" w:eastAsia="Times New Roman" w:hAnsi="Calibri" w:cs="Calibri"/>
        </w:rPr>
        <w:t>The School of Government offers a number of PAM programmes across two departments. Blended programmes</w:t>
      </w:r>
      <w:r w:rsidR="00FC6557" w:rsidRPr="00864090">
        <w:rPr>
          <w:rFonts w:ascii="Calibri" w:eastAsia="Times New Roman" w:hAnsi="Calibri" w:cs="Calibri"/>
        </w:rPr>
        <w:t xml:space="preserve"> target s</w:t>
      </w:r>
      <w:r w:rsidRPr="00864090">
        <w:rPr>
          <w:rFonts w:ascii="Calibri" w:eastAsia="Times New Roman" w:hAnsi="Calibri" w:cs="Calibri"/>
        </w:rPr>
        <w:t>tudents employed in English public sector leadership roles (INLOGOV). On campus</w:t>
      </w:r>
      <w:r w:rsidR="00FC6557" w:rsidRPr="00864090">
        <w:rPr>
          <w:rFonts w:ascii="Calibri" w:eastAsia="Times New Roman" w:hAnsi="Calibri" w:cs="Calibri"/>
        </w:rPr>
        <w:t xml:space="preserve"> programmes target</w:t>
      </w:r>
      <w:r w:rsidRPr="00864090">
        <w:rPr>
          <w:rFonts w:ascii="Calibri" w:eastAsia="Times New Roman" w:hAnsi="Calibri" w:cs="Calibri"/>
        </w:rPr>
        <w:t xml:space="preserve"> student cohorts post UG degree students and practitioner students from a number of countries, significant proportion from outside Europe / West (INLOGOV; IDD).</w:t>
      </w:r>
      <w:r w:rsidR="00FC6557" w:rsidRPr="00864090">
        <w:rPr>
          <w:rFonts w:ascii="Calibri" w:eastAsia="Times New Roman" w:hAnsi="Calibri" w:cs="Calibri"/>
        </w:rPr>
        <w:t xml:space="preserve"> </w:t>
      </w:r>
      <w:r w:rsidRPr="00864090">
        <w:rPr>
          <w:rFonts w:ascii="Calibri" w:eastAsia="Times New Roman" w:hAnsi="Calibri" w:cs="Calibri"/>
        </w:rPr>
        <w:t>Digit</w:t>
      </w:r>
      <w:r w:rsidR="00FC6557" w:rsidRPr="00864090">
        <w:rPr>
          <w:rFonts w:ascii="Calibri" w:eastAsia="Times New Roman" w:hAnsi="Calibri" w:cs="Calibri"/>
        </w:rPr>
        <w:t>al programmes</w:t>
      </w:r>
      <w:r w:rsidRPr="00864090">
        <w:rPr>
          <w:rFonts w:ascii="Calibri" w:eastAsia="Times New Roman" w:hAnsi="Calibri" w:cs="Calibri"/>
        </w:rPr>
        <w:t xml:space="preserve"> students employed in public sector and central government roles. Approximately 70% of students (overseas non-western / non-European); 25% (UK) (INLOGOV).</w:t>
      </w:r>
    </w:p>
    <w:p w14:paraId="065CCC75" w14:textId="77777777" w:rsidR="00033D25" w:rsidRPr="00864090" w:rsidRDefault="00033D25" w:rsidP="003F4EE3">
      <w:pPr>
        <w:spacing w:after="120"/>
        <w:ind w:left="567" w:right="333"/>
        <w:jc w:val="both"/>
        <w:rPr>
          <w:rFonts w:ascii="Calibri" w:hAnsi="Calibri" w:cs="Calibri"/>
          <w:b/>
          <w:bCs/>
        </w:rPr>
      </w:pPr>
    </w:p>
    <w:p w14:paraId="27C405B8" w14:textId="6BA9697D" w:rsidR="00033D25" w:rsidRPr="00864090" w:rsidRDefault="00033D25" w:rsidP="00B06C54">
      <w:pPr>
        <w:ind w:firstLine="567"/>
        <w:rPr>
          <w:rFonts w:ascii="Calibri" w:eastAsia="Times New Roman" w:hAnsi="Calibri" w:cs="Calibri"/>
          <w:b/>
          <w:bCs/>
        </w:rPr>
      </w:pPr>
      <w:r w:rsidRPr="00864090">
        <w:rPr>
          <w:rFonts w:ascii="Calibri" w:eastAsia="Times New Roman" w:hAnsi="Calibri" w:cs="Calibri"/>
          <w:b/>
          <w:bCs/>
        </w:rPr>
        <w:t>Suggestions for starting the decolonisation process</w:t>
      </w:r>
    </w:p>
    <w:p w14:paraId="261C2C74" w14:textId="42A357B1" w:rsidR="00033D25" w:rsidRPr="00864090" w:rsidRDefault="00033D25" w:rsidP="003F4EE3">
      <w:pPr>
        <w:spacing w:after="120"/>
        <w:ind w:left="567" w:right="333"/>
        <w:jc w:val="both"/>
        <w:rPr>
          <w:rFonts w:ascii="Calibri" w:eastAsia="Times New Roman" w:hAnsi="Calibri" w:cs="Calibri"/>
        </w:rPr>
      </w:pPr>
      <w:r w:rsidRPr="00864090">
        <w:rPr>
          <w:rFonts w:ascii="Calibri" w:eastAsia="Times New Roman" w:hAnsi="Calibri" w:cs="Calibri"/>
        </w:rPr>
        <w:t xml:space="preserve">With a focus on performative (what is seen, nature of scholars) and informative (syllabus content concepts, ideas, cases) and pedagogy (design and delivery) (SOAS, 2018), the following sections set out a number of questions that facilitate 1) evaluation of current PMA modules and programmes; 2)  identification of changes that will start the process of decolonisation. This will not be a task and finish </w:t>
      </w:r>
      <w:r w:rsidR="00365BBA" w:rsidRPr="00864090">
        <w:rPr>
          <w:rFonts w:ascii="Calibri" w:eastAsia="Times New Roman" w:hAnsi="Calibri" w:cs="Calibri"/>
        </w:rPr>
        <w:t>process;</w:t>
      </w:r>
      <w:r w:rsidRPr="00864090">
        <w:rPr>
          <w:rFonts w:ascii="Calibri" w:eastAsia="Times New Roman" w:hAnsi="Calibri" w:cs="Calibri"/>
        </w:rPr>
        <w:t xml:space="preserve"> it will be ongoing and reflexive. While some modules naturally lend themselves </w:t>
      </w:r>
      <w:r w:rsidR="00365BBA" w:rsidRPr="00864090">
        <w:rPr>
          <w:rFonts w:ascii="Calibri" w:eastAsia="Times New Roman" w:hAnsi="Calibri" w:cs="Calibri"/>
        </w:rPr>
        <w:t>to deep</w:t>
      </w:r>
      <w:r w:rsidRPr="00864090">
        <w:rPr>
          <w:rFonts w:ascii="Calibri" w:eastAsia="Times New Roman" w:hAnsi="Calibri" w:cs="Calibri"/>
        </w:rPr>
        <w:t xml:space="preserve"> conceptual engagement with</w:t>
      </w:r>
      <w:r w:rsidR="00365BBA" w:rsidRPr="00864090">
        <w:rPr>
          <w:rFonts w:ascii="Calibri" w:eastAsia="Times New Roman" w:hAnsi="Calibri" w:cs="Calibri"/>
        </w:rPr>
        <w:t xml:space="preserve"> </w:t>
      </w:r>
      <w:r w:rsidRPr="00864090">
        <w:rPr>
          <w:rFonts w:ascii="Calibri" w:eastAsia="Times New Roman" w:hAnsi="Calibri" w:cs="Calibri"/>
        </w:rPr>
        <w:t xml:space="preserve">decolonisation, others do not. </w:t>
      </w:r>
    </w:p>
    <w:p w14:paraId="21E211FE" w14:textId="77777777" w:rsidR="00033D25" w:rsidRPr="00864090" w:rsidRDefault="00033D25" w:rsidP="003F4EE3">
      <w:pPr>
        <w:spacing w:after="120"/>
        <w:ind w:left="567" w:right="333"/>
        <w:jc w:val="both"/>
        <w:rPr>
          <w:rFonts w:ascii="Calibri" w:hAnsi="Calibri" w:cs="Calibri"/>
          <w:b/>
          <w:bCs/>
        </w:rPr>
      </w:pPr>
    </w:p>
    <w:p w14:paraId="39981962" w14:textId="77777777" w:rsidR="00033D25" w:rsidRPr="00864090" w:rsidRDefault="00033D25" w:rsidP="003F4EE3">
      <w:pPr>
        <w:spacing w:after="120"/>
        <w:ind w:left="567" w:right="333"/>
        <w:jc w:val="both"/>
        <w:rPr>
          <w:rFonts w:ascii="Calibri" w:hAnsi="Calibri" w:cs="Calibri"/>
          <w:b/>
          <w:bCs/>
        </w:rPr>
      </w:pPr>
      <w:r w:rsidRPr="00864090">
        <w:rPr>
          <w:rFonts w:ascii="Calibri" w:hAnsi="Calibri" w:cs="Calibri"/>
          <w:b/>
          <w:bCs/>
        </w:rPr>
        <w:t>Reading lists</w:t>
      </w:r>
    </w:p>
    <w:p w14:paraId="1ABAEE0E" w14:textId="77777777" w:rsidR="00864090" w:rsidRPr="00864090" w:rsidRDefault="00033D25" w:rsidP="003F4EE3">
      <w:pPr>
        <w:pStyle w:val="ListParagraph"/>
        <w:numPr>
          <w:ilvl w:val="0"/>
          <w:numId w:val="35"/>
        </w:numPr>
        <w:spacing w:after="120"/>
        <w:ind w:right="333"/>
        <w:jc w:val="both"/>
        <w:rPr>
          <w:rFonts w:ascii="Calibri" w:hAnsi="Calibri" w:cs="Calibri"/>
          <w:b/>
        </w:rPr>
      </w:pPr>
      <w:r w:rsidRPr="00864090">
        <w:rPr>
          <w:rFonts w:ascii="Calibri" w:hAnsi="Calibri" w:cs="Calibri"/>
        </w:rPr>
        <w:t xml:space="preserve">What does your reading list profile? Does it predominantly list scholars from the West or does it give profile to East Asian and Global South scholars? </w:t>
      </w:r>
    </w:p>
    <w:p w14:paraId="32E53747" w14:textId="19B6F3FD" w:rsidR="00033D25" w:rsidRPr="00864090" w:rsidRDefault="00033D25" w:rsidP="003F4EE3">
      <w:pPr>
        <w:pStyle w:val="ListParagraph"/>
        <w:numPr>
          <w:ilvl w:val="0"/>
          <w:numId w:val="35"/>
        </w:numPr>
        <w:spacing w:after="120"/>
        <w:ind w:right="333"/>
        <w:jc w:val="both"/>
        <w:rPr>
          <w:rFonts w:ascii="Calibri" w:hAnsi="Calibri" w:cs="Calibri"/>
          <w:b/>
        </w:rPr>
      </w:pPr>
      <w:r w:rsidRPr="00864090">
        <w:rPr>
          <w:rFonts w:ascii="Calibri" w:hAnsi="Calibri" w:cs="Calibri"/>
        </w:rPr>
        <w:t xml:space="preserve">Do authoritative readings on the module emanate from the from the West / Europe or also East Asia and the Global South? What are the criteria for readings being designated authoritative?  </w:t>
      </w:r>
    </w:p>
    <w:p w14:paraId="1E866E98" w14:textId="77777777" w:rsidR="00033D25" w:rsidRPr="00864090" w:rsidRDefault="00033D25" w:rsidP="003F4EE3">
      <w:pPr>
        <w:pStyle w:val="ListParagraph"/>
        <w:numPr>
          <w:ilvl w:val="0"/>
          <w:numId w:val="35"/>
        </w:numPr>
        <w:spacing w:after="120"/>
        <w:ind w:right="333"/>
        <w:jc w:val="both"/>
        <w:rPr>
          <w:rFonts w:ascii="Calibri" w:hAnsi="Calibri" w:cs="Calibri"/>
          <w:b/>
        </w:rPr>
      </w:pPr>
      <w:r w:rsidRPr="00864090">
        <w:rPr>
          <w:rFonts w:ascii="Calibri" w:hAnsi="Calibri" w:cs="Calibri"/>
        </w:rPr>
        <w:t xml:space="preserve">Does your reading list include recent, controversial and or innovative (off the radar) publications?    </w:t>
      </w:r>
    </w:p>
    <w:p w14:paraId="067B70B9" w14:textId="285189BF" w:rsidR="00033D25" w:rsidRPr="00B06C54" w:rsidRDefault="00033D25" w:rsidP="00B06C54">
      <w:pPr>
        <w:pStyle w:val="ListParagraph"/>
        <w:numPr>
          <w:ilvl w:val="0"/>
          <w:numId w:val="35"/>
        </w:numPr>
        <w:spacing w:after="120"/>
        <w:ind w:right="333"/>
        <w:jc w:val="both"/>
        <w:rPr>
          <w:rFonts w:ascii="Calibri" w:hAnsi="Calibri" w:cs="Calibri"/>
          <w:b/>
        </w:rPr>
      </w:pPr>
      <w:r w:rsidRPr="00864090">
        <w:rPr>
          <w:rFonts w:ascii="Calibri" w:hAnsi="Calibri" w:cs="Calibri"/>
        </w:rPr>
        <w:t xml:space="preserve">Does your reading list include scholarly contributions that provide critical reflections on the discipline and challenge dominant narratives? </w:t>
      </w:r>
    </w:p>
    <w:p w14:paraId="48A02B98" w14:textId="77777777" w:rsidR="00033D25" w:rsidRPr="00864090" w:rsidRDefault="00033D25" w:rsidP="003F4EE3">
      <w:pPr>
        <w:spacing w:after="120"/>
        <w:ind w:left="567" w:right="333"/>
        <w:jc w:val="both"/>
        <w:rPr>
          <w:rFonts w:ascii="Calibri" w:hAnsi="Calibri" w:cs="Calibri"/>
          <w:b/>
          <w:bCs/>
        </w:rPr>
      </w:pPr>
      <w:r w:rsidRPr="00864090">
        <w:rPr>
          <w:rFonts w:ascii="Calibri" w:hAnsi="Calibri" w:cs="Calibri"/>
          <w:b/>
          <w:bCs/>
        </w:rPr>
        <w:t xml:space="preserve">Content – module </w:t>
      </w:r>
    </w:p>
    <w:p w14:paraId="43B53D83" w14:textId="77777777" w:rsidR="00033D25" w:rsidRPr="00864090" w:rsidRDefault="00033D25" w:rsidP="003F4EE3">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What is the historical context of the module? Does the module need to acknowledge the UK’s colonial past and its ongoing influence on PAM?  </w:t>
      </w:r>
    </w:p>
    <w:p w14:paraId="1B059585" w14:textId="38F95CFD" w:rsidR="00033D25" w:rsidRPr="00864090" w:rsidRDefault="00033D25" w:rsidP="003F4EE3">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Does the module normalise and elevate traditional western / European approaches and </w:t>
      </w:r>
      <w:r w:rsidR="00B06C54" w:rsidRPr="00864090">
        <w:rPr>
          <w:rFonts w:ascii="Calibri" w:hAnsi="Calibri" w:cs="Calibri"/>
        </w:rPr>
        <w:t>structures,</w:t>
      </w:r>
      <w:r w:rsidRPr="00864090">
        <w:rPr>
          <w:rFonts w:ascii="Calibri" w:hAnsi="Calibri" w:cs="Calibri"/>
        </w:rPr>
        <w:t xml:space="preserve"> or does it acknowledge and give space to other traditions?</w:t>
      </w:r>
    </w:p>
    <w:p w14:paraId="4045DB5E" w14:textId="7122ABF1" w:rsidR="00033D25" w:rsidRPr="00864090" w:rsidRDefault="00033D25" w:rsidP="003F4EE3">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Are there comparative / globalised elements to the module and does it acknowledge </w:t>
      </w:r>
      <w:r w:rsidR="00B06C54" w:rsidRPr="00864090">
        <w:rPr>
          <w:rFonts w:ascii="Calibri" w:hAnsi="Calibri" w:cs="Calibri"/>
        </w:rPr>
        <w:t>non-Western</w:t>
      </w:r>
      <w:r w:rsidRPr="00864090">
        <w:rPr>
          <w:rFonts w:ascii="Calibri" w:hAnsi="Calibri" w:cs="Calibri"/>
        </w:rPr>
        <w:t xml:space="preserve"> European practices?</w:t>
      </w:r>
    </w:p>
    <w:p w14:paraId="52FD8D00" w14:textId="77777777" w:rsidR="00033D25" w:rsidRPr="00864090" w:rsidRDefault="00033D25" w:rsidP="003F4EE3">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Does the module tie PAM to Western / European forms of democracy or does it provide critique of the democratic model and acknowledge successful forms of PAM in non-democratic societies? How is successful PAM defined? </w:t>
      </w:r>
    </w:p>
    <w:p w14:paraId="64170965" w14:textId="77777777" w:rsidR="00033D25" w:rsidRPr="00864090" w:rsidRDefault="00033D25" w:rsidP="003F4EE3">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What’s the nature of case studies employed in the module? What do they profile and what is the geographical context of each case? </w:t>
      </w:r>
    </w:p>
    <w:p w14:paraId="2E0284E4" w14:textId="4492611C" w:rsidR="00DF74DD" w:rsidRPr="00B06C54" w:rsidRDefault="00033D25" w:rsidP="00B06C54">
      <w:pPr>
        <w:pStyle w:val="ListParagraph"/>
        <w:numPr>
          <w:ilvl w:val="0"/>
          <w:numId w:val="36"/>
        </w:numPr>
        <w:spacing w:after="120"/>
        <w:ind w:right="333"/>
        <w:jc w:val="both"/>
        <w:rPr>
          <w:rFonts w:ascii="Calibri" w:hAnsi="Calibri" w:cs="Calibri"/>
          <w:b/>
        </w:rPr>
      </w:pPr>
      <w:r w:rsidRPr="00864090">
        <w:rPr>
          <w:rFonts w:ascii="Calibri" w:hAnsi="Calibri" w:cs="Calibri"/>
        </w:rPr>
        <w:t xml:space="preserve">Does the module provide for a critical approach to PAM and is that critical approach central to the module?  </w:t>
      </w:r>
    </w:p>
    <w:p w14:paraId="4CFE1840" w14:textId="067ABF1E" w:rsidR="00033D25" w:rsidRPr="00864090" w:rsidRDefault="00033D25" w:rsidP="003F4EE3">
      <w:pPr>
        <w:spacing w:after="120"/>
        <w:ind w:left="567" w:right="333"/>
        <w:jc w:val="both"/>
        <w:rPr>
          <w:rFonts w:ascii="Calibri" w:eastAsia="Times New Roman" w:hAnsi="Calibri" w:cs="Calibri"/>
          <w:b/>
          <w:bCs/>
        </w:rPr>
      </w:pPr>
      <w:r w:rsidRPr="00864090">
        <w:rPr>
          <w:rFonts w:ascii="Calibri" w:eastAsia="Times New Roman" w:hAnsi="Calibri" w:cs="Calibri"/>
          <w:b/>
          <w:bCs/>
        </w:rPr>
        <w:t>Pedagogy</w:t>
      </w:r>
    </w:p>
    <w:p w14:paraId="4AF530E2" w14:textId="77777777" w:rsidR="00033D25" w:rsidRPr="00864090" w:rsidRDefault="00033D25" w:rsidP="003F4EE3">
      <w:pPr>
        <w:pStyle w:val="ListParagraph"/>
        <w:numPr>
          <w:ilvl w:val="0"/>
          <w:numId w:val="37"/>
        </w:numPr>
        <w:spacing w:after="120"/>
        <w:ind w:right="333"/>
        <w:jc w:val="both"/>
        <w:rPr>
          <w:rFonts w:ascii="Calibri" w:hAnsi="Calibri" w:cs="Calibri"/>
        </w:rPr>
      </w:pPr>
      <w:r w:rsidRPr="00864090">
        <w:rPr>
          <w:rFonts w:ascii="Calibri" w:hAnsi="Calibri" w:cs="Calibri"/>
        </w:rPr>
        <w:t xml:space="preserve">Are students’ experiences and interests sought by module tutors and integrated into the module’s pedagogy? </w:t>
      </w:r>
    </w:p>
    <w:p w14:paraId="3B611B94" w14:textId="77777777" w:rsidR="00033D25" w:rsidRPr="00864090" w:rsidRDefault="00033D25" w:rsidP="003F4EE3">
      <w:pPr>
        <w:pStyle w:val="ListParagraph"/>
        <w:numPr>
          <w:ilvl w:val="0"/>
          <w:numId w:val="37"/>
        </w:numPr>
        <w:spacing w:after="120"/>
        <w:ind w:right="333"/>
        <w:jc w:val="both"/>
        <w:rPr>
          <w:rFonts w:ascii="Calibri" w:hAnsi="Calibri" w:cs="Calibri"/>
        </w:rPr>
      </w:pPr>
      <w:r w:rsidRPr="00864090">
        <w:rPr>
          <w:rFonts w:ascii="Calibri" w:hAnsi="Calibri" w:cs="Calibri"/>
        </w:rPr>
        <w:t xml:space="preserve">Do formative exercises encourage students to draw on and discuss theory, contexts and cases that are meaningful to them? </w:t>
      </w:r>
    </w:p>
    <w:p w14:paraId="176BCF90" w14:textId="77777777" w:rsidR="00033D25" w:rsidRPr="00864090" w:rsidRDefault="00033D25" w:rsidP="003F4EE3">
      <w:pPr>
        <w:pStyle w:val="ListParagraph"/>
        <w:numPr>
          <w:ilvl w:val="0"/>
          <w:numId w:val="37"/>
        </w:numPr>
        <w:spacing w:after="120"/>
        <w:ind w:right="333"/>
        <w:jc w:val="both"/>
        <w:rPr>
          <w:rFonts w:ascii="Calibri" w:hAnsi="Calibri" w:cs="Calibri"/>
        </w:rPr>
      </w:pPr>
      <w:r w:rsidRPr="00864090">
        <w:rPr>
          <w:rFonts w:ascii="Calibri" w:hAnsi="Calibri" w:cs="Calibri"/>
        </w:rPr>
        <w:t>Does the module provide students with opportunities to learn about and reflect on their experiences and interests?</w:t>
      </w:r>
    </w:p>
    <w:p w14:paraId="226B0DA4" w14:textId="203CB5D4" w:rsidR="00AC4834" w:rsidRDefault="00033D25" w:rsidP="00B06C54">
      <w:pPr>
        <w:pStyle w:val="ListParagraph"/>
        <w:numPr>
          <w:ilvl w:val="0"/>
          <w:numId w:val="37"/>
        </w:numPr>
        <w:spacing w:after="120"/>
        <w:ind w:right="333"/>
        <w:jc w:val="both"/>
        <w:rPr>
          <w:rFonts w:ascii="Calibri" w:hAnsi="Calibri" w:cs="Calibri"/>
        </w:rPr>
      </w:pPr>
      <w:r w:rsidRPr="00864090">
        <w:rPr>
          <w:rFonts w:ascii="Calibri" w:hAnsi="Calibri" w:cs="Calibri"/>
        </w:rPr>
        <w:t>Do module assignments set questions that encourage students to draw on theories and empirical evidence relevant to their interests and context</w:t>
      </w:r>
      <w:r w:rsidR="00B06C54">
        <w:rPr>
          <w:rFonts w:ascii="Calibri" w:hAnsi="Calibri" w:cs="Calibri"/>
        </w:rPr>
        <w:t>?</w:t>
      </w:r>
    </w:p>
    <w:p w14:paraId="22EF908C" w14:textId="77777777" w:rsidR="00AC4834" w:rsidRDefault="00AC4834">
      <w:pPr>
        <w:rPr>
          <w:b/>
          <w:bCs/>
          <w:color w:val="588392"/>
          <w:sz w:val="30"/>
          <w:szCs w:val="30"/>
        </w:rPr>
      </w:pPr>
      <w:r>
        <w:rPr>
          <w:b/>
          <w:bCs/>
          <w:color w:val="588392"/>
          <w:sz w:val="30"/>
          <w:szCs w:val="30"/>
        </w:rPr>
        <w:t>References</w:t>
      </w:r>
    </w:p>
    <w:p w14:paraId="337D84CD" w14:textId="77777777" w:rsidR="00AC4834" w:rsidRDefault="00AC4834">
      <w:pPr>
        <w:rPr>
          <w:b/>
          <w:bCs/>
          <w:color w:val="588392"/>
          <w:sz w:val="30"/>
          <w:szCs w:val="30"/>
        </w:rPr>
      </w:pPr>
    </w:p>
    <w:p w14:paraId="0368F5F5"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Amin, Samir (1976). </w:t>
      </w:r>
      <w:r w:rsidRPr="00AC4834">
        <w:rPr>
          <w:rFonts w:ascii="Calibri" w:hAnsi="Calibri" w:cs="Calibri"/>
          <w:i/>
          <w:iCs/>
          <w:color w:val="000000" w:themeColor="text1"/>
          <w:sz w:val="21"/>
          <w:szCs w:val="21"/>
        </w:rPr>
        <w:t>Unequal Development: An Essay on the Social Formations of Peripheral Capitalism</w:t>
      </w:r>
      <w:r w:rsidRPr="00AC4834">
        <w:rPr>
          <w:rFonts w:ascii="Calibri" w:hAnsi="Calibri" w:cs="Calibri"/>
          <w:color w:val="000000" w:themeColor="text1"/>
          <w:sz w:val="21"/>
          <w:szCs w:val="21"/>
        </w:rPr>
        <w:t xml:space="preserve"> (New York, NY: Monthly Review Press).</w:t>
      </w:r>
    </w:p>
    <w:p w14:paraId="6CB06914"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i/>
          <w:color w:val="000000" w:themeColor="text1"/>
          <w:sz w:val="21"/>
          <w:szCs w:val="21"/>
        </w:rPr>
      </w:pPr>
      <w:r w:rsidRPr="00AC4834">
        <w:rPr>
          <w:rFonts w:ascii="Calibri" w:hAnsi="Calibri" w:cs="Calibri"/>
          <w:color w:val="000000" w:themeColor="text1"/>
          <w:sz w:val="21"/>
          <w:szCs w:val="21"/>
        </w:rPr>
        <w:t xml:space="preserve">Basheka B.C. (2012) ‘The paradigms of public administration: re-examined’ </w:t>
      </w:r>
      <w:r w:rsidRPr="00AC4834">
        <w:rPr>
          <w:rFonts w:ascii="Calibri" w:hAnsi="Calibri" w:cs="Calibri"/>
          <w:i/>
          <w:color w:val="000000" w:themeColor="text1"/>
          <w:sz w:val="21"/>
          <w:szCs w:val="21"/>
        </w:rPr>
        <w:t xml:space="preserve">Journal of Public Administration </w:t>
      </w:r>
      <w:r w:rsidRPr="00AC4834">
        <w:rPr>
          <w:rFonts w:ascii="Calibri" w:hAnsi="Calibri" w:cs="Calibri"/>
          <w:color w:val="000000" w:themeColor="text1"/>
          <w:sz w:val="21"/>
          <w:szCs w:val="21"/>
        </w:rPr>
        <w:t>47(1): 25–67.</w:t>
      </w:r>
      <w:r w:rsidRPr="00AC4834">
        <w:rPr>
          <w:rFonts w:ascii="Calibri" w:eastAsia="Times New Roman" w:hAnsi="Calibri" w:cs="Calibri"/>
          <w:color w:val="000000" w:themeColor="text1"/>
          <w:sz w:val="21"/>
          <w:szCs w:val="21"/>
        </w:rPr>
        <w:t xml:space="preserve"> </w:t>
      </w:r>
    </w:p>
    <w:p w14:paraId="46BC237E"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Bhambra, G. K. (2017). Brexit, Trump, and ‘methodological whiteness’: on the misrecognition of race and class. </w:t>
      </w:r>
      <w:r w:rsidRPr="00AC4834">
        <w:rPr>
          <w:rFonts w:ascii="Calibri" w:hAnsi="Calibri" w:cs="Calibri"/>
          <w:i/>
          <w:iCs/>
          <w:color w:val="000000" w:themeColor="text1"/>
          <w:sz w:val="21"/>
          <w:szCs w:val="21"/>
        </w:rPr>
        <w:t>The British Journal of Sociology, 68</w:t>
      </w:r>
      <w:r w:rsidRPr="00AC4834">
        <w:rPr>
          <w:rFonts w:ascii="Calibri" w:hAnsi="Calibri" w:cs="Calibri"/>
          <w:color w:val="000000" w:themeColor="text1"/>
          <w:sz w:val="21"/>
          <w:szCs w:val="21"/>
        </w:rPr>
        <w:t>(S1): 214-232.</w:t>
      </w:r>
    </w:p>
    <w:p w14:paraId="3AAA8319"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Candler G.G. Azeveˆdo A. and Albernaz R.O. (2010) ‘Towards global scholarship in public affairs’ </w:t>
      </w:r>
      <w:r w:rsidRPr="00AC4834">
        <w:rPr>
          <w:rFonts w:ascii="Calibri" w:hAnsi="Calibri" w:cs="Calibri"/>
          <w:i/>
          <w:color w:val="000000" w:themeColor="text1"/>
          <w:sz w:val="21"/>
          <w:szCs w:val="21"/>
        </w:rPr>
        <w:t>Public Administration</w:t>
      </w:r>
      <w:r w:rsidRPr="00AC4834">
        <w:rPr>
          <w:rFonts w:ascii="Calibri" w:hAnsi="Calibri" w:cs="Calibri"/>
          <w:color w:val="000000" w:themeColor="text1"/>
          <w:sz w:val="21"/>
          <w:szCs w:val="21"/>
        </w:rPr>
        <w:t xml:space="preserve"> 88 (3): 836–850.</w:t>
      </w:r>
    </w:p>
    <w:p w14:paraId="3A742642"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Cardoso, Fernando Henrique and Faletto, Enzo (1979). </w:t>
      </w:r>
      <w:r w:rsidRPr="00AC4834">
        <w:rPr>
          <w:rFonts w:ascii="Calibri" w:hAnsi="Calibri" w:cs="Calibri"/>
          <w:i/>
          <w:iCs/>
          <w:color w:val="000000" w:themeColor="text1"/>
          <w:sz w:val="21"/>
          <w:szCs w:val="21"/>
        </w:rPr>
        <w:t xml:space="preserve">Dependency and Development in Latin America </w:t>
      </w:r>
      <w:r w:rsidRPr="00AC4834">
        <w:rPr>
          <w:rFonts w:ascii="Calibri" w:hAnsi="Calibri" w:cs="Calibri"/>
          <w:color w:val="000000" w:themeColor="text1"/>
          <w:sz w:val="21"/>
          <w:szCs w:val="21"/>
        </w:rPr>
        <w:t>(Berkeley, CA: University of California Press).</w:t>
      </w:r>
    </w:p>
    <w:p w14:paraId="14EC7318"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i/>
          <w:color w:val="000000" w:themeColor="text1"/>
          <w:sz w:val="21"/>
          <w:szCs w:val="21"/>
        </w:rPr>
      </w:pPr>
      <w:r w:rsidRPr="00AC4834">
        <w:rPr>
          <w:rFonts w:ascii="Calibri" w:hAnsi="Calibri" w:cs="Calibri"/>
          <w:color w:val="000000" w:themeColor="text1"/>
          <w:sz w:val="21"/>
          <w:szCs w:val="21"/>
        </w:rPr>
        <w:t xml:space="preserve">Carrizales T. (2010) ‘Exploring cultural competency within the public affairs curriculum’ </w:t>
      </w:r>
      <w:r w:rsidRPr="00AC4834">
        <w:rPr>
          <w:rFonts w:ascii="Calibri" w:hAnsi="Calibri" w:cs="Calibri"/>
          <w:i/>
          <w:color w:val="000000" w:themeColor="text1"/>
          <w:sz w:val="21"/>
          <w:szCs w:val="21"/>
        </w:rPr>
        <w:t>Journal of Public Affairs Education</w:t>
      </w:r>
      <w:r w:rsidRPr="00AC4834">
        <w:rPr>
          <w:rFonts w:ascii="Calibri" w:hAnsi="Calibri" w:cs="Calibri"/>
          <w:color w:val="000000" w:themeColor="text1"/>
          <w:sz w:val="21"/>
          <w:szCs w:val="21"/>
        </w:rPr>
        <w:t xml:space="preserve"> 16 (4): 593–606.</w:t>
      </w:r>
    </w:p>
    <w:p w14:paraId="4E080D46"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Chang, Ha-Joon (2002). </w:t>
      </w:r>
      <w:r w:rsidRPr="00AC4834">
        <w:rPr>
          <w:rFonts w:ascii="Calibri" w:hAnsi="Calibri" w:cs="Calibri"/>
          <w:i/>
          <w:iCs/>
          <w:color w:val="000000" w:themeColor="text1"/>
          <w:sz w:val="21"/>
          <w:szCs w:val="21"/>
        </w:rPr>
        <w:t xml:space="preserve">Kicking Away the Ladder: Development Strategy in Historical Perspective </w:t>
      </w:r>
      <w:r w:rsidRPr="00AC4834">
        <w:rPr>
          <w:rFonts w:ascii="Calibri" w:hAnsi="Calibri" w:cs="Calibri"/>
          <w:color w:val="000000" w:themeColor="text1"/>
          <w:sz w:val="21"/>
          <w:szCs w:val="21"/>
        </w:rPr>
        <w:t>(London: Anthem Press).</w:t>
      </w:r>
    </w:p>
    <w:p w14:paraId="25F2210E"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Collier, Paul (2007). </w:t>
      </w:r>
      <w:r w:rsidRPr="00AC4834">
        <w:rPr>
          <w:rFonts w:ascii="Calibri" w:hAnsi="Calibri" w:cs="Calibri"/>
          <w:i/>
          <w:iCs/>
          <w:color w:val="000000" w:themeColor="text1"/>
          <w:sz w:val="21"/>
          <w:szCs w:val="21"/>
        </w:rPr>
        <w:t xml:space="preserve">The Bottom Billion: Why the Poorest Countries are Failing and What Can Be Done About it </w:t>
      </w:r>
      <w:r w:rsidRPr="00AC4834">
        <w:rPr>
          <w:rFonts w:ascii="Calibri" w:hAnsi="Calibri" w:cs="Calibri"/>
          <w:color w:val="000000" w:themeColor="text1"/>
          <w:sz w:val="21"/>
          <w:szCs w:val="21"/>
        </w:rPr>
        <w:t>(Oxford: Oxford University Press).</w:t>
      </w:r>
    </w:p>
    <w:p w14:paraId="54EADBC5"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Cox, Robert. 1981. “Social Forces, States and World Orders: Beyond International Relations Theory.” </w:t>
      </w:r>
      <w:r w:rsidRPr="00AC4834">
        <w:rPr>
          <w:rFonts w:ascii="Calibri" w:hAnsi="Calibri" w:cs="Calibri"/>
          <w:i/>
          <w:iCs/>
          <w:color w:val="000000" w:themeColor="text1"/>
          <w:sz w:val="21"/>
          <w:szCs w:val="21"/>
        </w:rPr>
        <w:t xml:space="preserve">Millennium </w:t>
      </w:r>
      <w:r w:rsidRPr="00AC4834">
        <w:rPr>
          <w:rFonts w:ascii="Calibri" w:hAnsi="Calibri" w:cs="Calibri"/>
          <w:color w:val="000000" w:themeColor="text1"/>
          <w:sz w:val="21"/>
          <w:szCs w:val="21"/>
        </w:rPr>
        <w:t>(10): 126-155.</w:t>
      </w:r>
    </w:p>
    <w:p w14:paraId="50FDEB8F"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Doharty, Nadena; Madriaga, Manuel and Joseph-Salisbury, Remi (2020). “The university went to ‘decolonise’ and all they brought back was lousy diversity double-speak! Critical Race Counter-Stories from Faculty of Colour in ‘Decolonial’ Times”, </w:t>
      </w:r>
      <w:r w:rsidRPr="00AC4834">
        <w:rPr>
          <w:rFonts w:ascii="Calibri" w:hAnsi="Calibri" w:cs="Calibri"/>
          <w:i/>
          <w:iCs/>
          <w:color w:val="000000" w:themeColor="text1"/>
          <w:sz w:val="21"/>
          <w:szCs w:val="21"/>
        </w:rPr>
        <w:t>Educational Philosophy and Theory</w:t>
      </w:r>
      <w:r w:rsidRPr="00AC4834">
        <w:rPr>
          <w:rFonts w:ascii="Calibri" w:hAnsi="Calibri" w:cs="Calibri"/>
          <w:color w:val="000000" w:themeColor="text1"/>
          <w:sz w:val="21"/>
          <w:szCs w:val="21"/>
        </w:rPr>
        <w:t xml:space="preserve"> (Online First).</w:t>
      </w:r>
    </w:p>
    <w:p w14:paraId="3842A25E"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Emejulu, A. (2018). Can Political Science Decolonise? A Response to Neema Begum and Rima Saini. </w:t>
      </w:r>
      <w:r w:rsidRPr="00AC4834">
        <w:rPr>
          <w:rFonts w:ascii="Calibri" w:hAnsi="Calibri" w:cs="Calibri"/>
          <w:i/>
          <w:iCs/>
          <w:color w:val="000000" w:themeColor="text1"/>
          <w:sz w:val="21"/>
          <w:szCs w:val="21"/>
        </w:rPr>
        <w:t xml:space="preserve">Political Studies Review, </w:t>
      </w:r>
      <w:r w:rsidRPr="00AC4834">
        <w:rPr>
          <w:rFonts w:ascii="Calibri" w:hAnsi="Calibri" w:cs="Calibri"/>
          <w:color w:val="000000" w:themeColor="text1"/>
          <w:sz w:val="21"/>
          <w:szCs w:val="21"/>
        </w:rPr>
        <w:t>17(2): 202-206.</w:t>
      </w:r>
    </w:p>
    <w:p w14:paraId="6F5BCCAF"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Eddo-Lodge, Reni (2018), </w:t>
      </w:r>
      <w:r w:rsidRPr="00AC4834">
        <w:rPr>
          <w:rFonts w:ascii="Calibri" w:hAnsi="Calibri" w:cs="Calibri"/>
          <w:i/>
          <w:iCs/>
          <w:color w:val="000000" w:themeColor="text1"/>
          <w:sz w:val="21"/>
          <w:szCs w:val="21"/>
        </w:rPr>
        <w:t>Why I’m No Longer Talking to White People about Race</w:t>
      </w:r>
      <w:r w:rsidRPr="00AC4834">
        <w:rPr>
          <w:rFonts w:ascii="Calibri" w:hAnsi="Calibri" w:cs="Calibri"/>
          <w:color w:val="000000" w:themeColor="text1"/>
          <w:sz w:val="21"/>
          <w:szCs w:val="21"/>
        </w:rPr>
        <w:t xml:space="preserve"> (Bloomsbury Publishing: London).</w:t>
      </w:r>
    </w:p>
    <w:p w14:paraId="2FC83BED"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Ghani, Ashraf and Lockhart, Clare (2008). </w:t>
      </w:r>
      <w:r w:rsidRPr="00AC4834">
        <w:rPr>
          <w:rFonts w:ascii="Calibri" w:hAnsi="Calibri" w:cs="Calibri"/>
          <w:i/>
          <w:iCs/>
          <w:color w:val="000000" w:themeColor="text1"/>
          <w:sz w:val="21"/>
          <w:szCs w:val="21"/>
        </w:rPr>
        <w:t xml:space="preserve">Fixing Failed States: A Framework for Rebuilding a Fractured World </w:t>
      </w:r>
      <w:r w:rsidRPr="00AC4834">
        <w:rPr>
          <w:rFonts w:ascii="Calibri" w:hAnsi="Calibri" w:cs="Calibri"/>
          <w:color w:val="000000" w:themeColor="text1"/>
          <w:sz w:val="21"/>
          <w:szCs w:val="21"/>
        </w:rPr>
        <w:t>(New York, NY: Oxford University Press).</w:t>
      </w:r>
    </w:p>
    <w:p w14:paraId="2FAFD1BC"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Grice, Francis. 2015. ‘Towards Non-Western Histories in International Relations Textbooks’ </w:t>
      </w:r>
      <w:r w:rsidRPr="00AC4834">
        <w:rPr>
          <w:rFonts w:ascii="Calibri" w:hAnsi="Calibri" w:cs="Calibri"/>
          <w:i/>
          <w:iCs/>
          <w:color w:val="000000" w:themeColor="text1"/>
          <w:sz w:val="21"/>
          <w:szCs w:val="21"/>
        </w:rPr>
        <w:t>Carnegie Ethics Online Monthly Column,</w:t>
      </w:r>
      <w:r w:rsidRPr="00AC4834">
        <w:rPr>
          <w:rFonts w:ascii="Calibri" w:hAnsi="Calibri" w:cs="Calibri"/>
          <w:color w:val="000000" w:themeColor="text1"/>
          <w:sz w:val="21"/>
          <w:szCs w:val="21"/>
        </w:rPr>
        <w:t xml:space="preserve"> available at </w:t>
      </w:r>
      <w:hyperlink r:id="rId51" w:history="1">
        <w:r w:rsidRPr="00AC4834">
          <w:rPr>
            <w:rStyle w:val="Hyperlink"/>
            <w:rFonts w:ascii="Calibri" w:hAnsi="Calibri" w:cs="Calibri"/>
            <w:color w:val="000000" w:themeColor="text1"/>
            <w:sz w:val="21"/>
            <w:szCs w:val="21"/>
          </w:rPr>
          <w:t>https://www.carnegiecouncil.org/publications/ethics_online/0105</w:t>
        </w:r>
      </w:hyperlink>
      <w:r w:rsidRPr="00AC4834">
        <w:rPr>
          <w:rStyle w:val="Hyperlink"/>
          <w:rFonts w:ascii="Calibri" w:hAnsi="Calibri" w:cs="Calibri"/>
          <w:color w:val="000000" w:themeColor="text1"/>
          <w:sz w:val="21"/>
          <w:szCs w:val="21"/>
        </w:rPr>
        <w:t>.</w:t>
      </w:r>
    </w:p>
    <w:p w14:paraId="070DDC96"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Hoffmann, Stanley. 1977. “An American Social Science: International Relations.” </w:t>
      </w:r>
      <w:r w:rsidRPr="00AC4834">
        <w:rPr>
          <w:rFonts w:ascii="Calibri" w:hAnsi="Calibri" w:cs="Calibri"/>
          <w:i/>
          <w:iCs/>
          <w:color w:val="000000" w:themeColor="text1"/>
          <w:sz w:val="21"/>
          <w:szCs w:val="21"/>
        </w:rPr>
        <w:t>Daedalus</w:t>
      </w:r>
      <w:r w:rsidRPr="00AC4834">
        <w:rPr>
          <w:rFonts w:ascii="Calibri" w:hAnsi="Calibri" w:cs="Calibri"/>
          <w:color w:val="000000" w:themeColor="text1"/>
          <w:sz w:val="21"/>
          <w:szCs w:val="21"/>
        </w:rPr>
        <w:t xml:space="preserve"> 106: 41–60.</w:t>
      </w:r>
    </w:p>
    <w:p w14:paraId="39D41E51"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Jones, Branwen Gruffydd. 2006. “International Relations, Eurocentrism and Imperialism.” In </w:t>
      </w:r>
      <w:r w:rsidRPr="00AC4834">
        <w:rPr>
          <w:rFonts w:ascii="Calibri" w:hAnsi="Calibri" w:cs="Calibri"/>
          <w:i/>
          <w:iCs/>
          <w:color w:val="000000" w:themeColor="text1"/>
          <w:sz w:val="21"/>
          <w:szCs w:val="21"/>
        </w:rPr>
        <w:t>Decolonizing International Relations</w:t>
      </w:r>
      <w:r w:rsidRPr="00AC4834">
        <w:rPr>
          <w:rFonts w:ascii="Calibri" w:hAnsi="Calibri" w:cs="Calibri"/>
          <w:color w:val="000000" w:themeColor="text1"/>
          <w:sz w:val="21"/>
          <w:szCs w:val="21"/>
        </w:rPr>
        <w:t>, edited by Branwen Gruffydd Jones: 1-19 (Lanham, MD: Rowman and Littlefield).</w:t>
      </w:r>
    </w:p>
    <w:p w14:paraId="199BC944"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Jreisat JE (2005) ‘Comparative Public Administration is back in, prudently’ </w:t>
      </w:r>
      <w:r w:rsidRPr="00AC4834">
        <w:rPr>
          <w:rFonts w:ascii="Calibri" w:hAnsi="Calibri" w:cs="Calibri"/>
          <w:i/>
          <w:color w:val="000000" w:themeColor="text1"/>
          <w:sz w:val="21"/>
          <w:szCs w:val="21"/>
        </w:rPr>
        <w:t xml:space="preserve">Public Administration </w:t>
      </w:r>
      <w:r w:rsidRPr="00AC4834">
        <w:rPr>
          <w:rFonts w:ascii="Calibri" w:hAnsi="Calibri" w:cs="Calibri"/>
          <w:color w:val="000000" w:themeColor="text1"/>
          <w:sz w:val="21"/>
          <w:szCs w:val="21"/>
        </w:rPr>
        <w:t xml:space="preserve">Review 65(2): 231–242. </w:t>
      </w:r>
    </w:p>
    <w:p w14:paraId="08850641"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Krauss, Judith (2018). “</w:t>
      </w:r>
      <w:hyperlink r:id="rId52" w:history="1">
        <w:r w:rsidRPr="00AC4834">
          <w:rPr>
            <w:rStyle w:val="Hyperlink"/>
            <w:rFonts w:ascii="Calibri" w:hAnsi="Calibri" w:cs="Calibri"/>
            <w:color w:val="000000" w:themeColor="text1"/>
            <w:sz w:val="21"/>
            <w:szCs w:val="21"/>
          </w:rPr>
          <w:t>Decolonising Development – What, How, By Whom and For Whom</w:t>
        </w:r>
      </w:hyperlink>
      <w:r w:rsidRPr="00AC4834">
        <w:rPr>
          <w:rFonts w:ascii="Calibri" w:hAnsi="Calibri" w:cs="Calibri"/>
          <w:color w:val="000000" w:themeColor="text1"/>
          <w:sz w:val="21"/>
          <w:szCs w:val="21"/>
        </w:rPr>
        <w:t xml:space="preserve">?”, </w:t>
      </w:r>
      <w:r w:rsidRPr="00AC4834">
        <w:rPr>
          <w:rFonts w:ascii="Calibri" w:hAnsi="Calibri" w:cs="Calibri"/>
          <w:i/>
          <w:iCs/>
          <w:color w:val="000000" w:themeColor="text1"/>
          <w:sz w:val="21"/>
          <w:szCs w:val="21"/>
        </w:rPr>
        <w:t>Global Development Institute Blog</w:t>
      </w:r>
      <w:r w:rsidRPr="00AC4834">
        <w:rPr>
          <w:rFonts w:ascii="Calibri" w:hAnsi="Calibri" w:cs="Calibri"/>
          <w:color w:val="000000" w:themeColor="text1"/>
          <w:sz w:val="21"/>
          <w:szCs w:val="21"/>
        </w:rPr>
        <w:t>, 20 November, 2018.</w:t>
      </w:r>
    </w:p>
    <w:p w14:paraId="724DA934"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Lentin, A. (2014). Postracial Silences: The Othering of Race in Europe. In W. D. Hund &amp; A. Lentin (Eds.), </w:t>
      </w:r>
      <w:r w:rsidRPr="00AC4834">
        <w:rPr>
          <w:rFonts w:ascii="Calibri" w:hAnsi="Calibri" w:cs="Calibri"/>
          <w:i/>
          <w:iCs/>
          <w:color w:val="000000" w:themeColor="text1"/>
          <w:sz w:val="21"/>
          <w:szCs w:val="21"/>
        </w:rPr>
        <w:t>Racism and Sociology</w:t>
      </w:r>
      <w:r w:rsidRPr="00AC4834">
        <w:rPr>
          <w:rFonts w:ascii="Calibri" w:hAnsi="Calibri" w:cs="Calibri"/>
          <w:color w:val="000000" w:themeColor="text1"/>
          <w:sz w:val="21"/>
          <w:szCs w:val="21"/>
        </w:rPr>
        <w:t>: 69-105 (Berlin: Lit Verlag).</w:t>
      </w:r>
    </w:p>
    <w:p w14:paraId="28611592"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Liddle J (2017) ‘Is there still a need for teaching and research in Public Administration and Management? A personal view from the UK’ </w:t>
      </w:r>
      <w:r w:rsidRPr="00AC4834">
        <w:rPr>
          <w:rFonts w:ascii="Calibri" w:hAnsi="Calibri" w:cs="Calibri"/>
          <w:i/>
          <w:color w:val="000000" w:themeColor="text1"/>
          <w:sz w:val="21"/>
          <w:szCs w:val="21"/>
        </w:rPr>
        <w:t xml:space="preserve">International Journal Of Public Sector Management </w:t>
      </w:r>
      <w:r w:rsidRPr="00AC4834">
        <w:rPr>
          <w:rFonts w:ascii="Calibri" w:hAnsi="Calibri" w:cs="Calibri"/>
          <w:color w:val="000000" w:themeColor="text1"/>
          <w:sz w:val="21"/>
          <w:szCs w:val="21"/>
        </w:rPr>
        <w:t>30 (6): 575–583.</w:t>
      </w:r>
      <w:r w:rsidRPr="00AC4834">
        <w:rPr>
          <w:rFonts w:ascii="Calibri" w:eastAsia="Times New Roman" w:hAnsi="Calibri" w:cs="Calibri"/>
          <w:color w:val="000000" w:themeColor="text1"/>
          <w:sz w:val="21"/>
          <w:szCs w:val="21"/>
        </w:rPr>
        <w:t xml:space="preserve"> </w:t>
      </w:r>
    </w:p>
    <w:p w14:paraId="2F854840"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MacDonald, Malcolm (1940). </w:t>
      </w:r>
      <w:hyperlink r:id="rId53" w:anchor="S5CV0361P0_19400521_HOC_236" w:history="1">
        <w:r w:rsidRPr="00AC4834">
          <w:rPr>
            <w:rStyle w:val="Hyperlink"/>
            <w:rFonts w:ascii="Calibri" w:hAnsi="Calibri" w:cs="Calibri"/>
            <w:color w:val="000000" w:themeColor="text1"/>
            <w:sz w:val="21"/>
            <w:szCs w:val="21"/>
          </w:rPr>
          <w:t>House of Commons Debate on Colonial Development and Welfare Bill</w:t>
        </w:r>
      </w:hyperlink>
      <w:r w:rsidRPr="00AC4834">
        <w:rPr>
          <w:rFonts w:ascii="Calibri" w:hAnsi="Calibri" w:cs="Calibri"/>
          <w:color w:val="000000" w:themeColor="text1"/>
          <w:sz w:val="21"/>
          <w:szCs w:val="21"/>
        </w:rPr>
        <w:t>, 21 May 1940. HC Deb 21 May 1940 vol 361 cc41-25.</w:t>
      </w:r>
    </w:p>
    <w:p w14:paraId="27317A4C"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color w:val="000000" w:themeColor="text1"/>
          <w:sz w:val="21"/>
          <w:szCs w:val="21"/>
        </w:rPr>
      </w:pPr>
      <w:r w:rsidRPr="00AC4834">
        <w:rPr>
          <w:rFonts w:ascii="Calibri" w:hAnsi="Calibri" w:cs="Calibri"/>
          <w:color w:val="000000" w:themeColor="text1"/>
          <w:sz w:val="21"/>
          <w:szCs w:val="21"/>
        </w:rPr>
        <w:t>Manoharan</w:t>
      </w:r>
      <w:r w:rsidRPr="00AC4834">
        <w:rPr>
          <w:rFonts w:ascii="Calibri" w:eastAsia="Times New Roman" w:hAnsi="Calibri" w:cs="Calibri"/>
          <w:color w:val="000000" w:themeColor="text1"/>
          <w:sz w:val="21"/>
          <w:szCs w:val="21"/>
        </w:rPr>
        <w:t xml:space="preserve"> A. Mirbel W and </w:t>
      </w:r>
      <w:r w:rsidRPr="00AC4834">
        <w:rPr>
          <w:rFonts w:ascii="Calibri" w:hAnsi="Calibri" w:cs="Calibri"/>
          <w:color w:val="000000" w:themeColor="text1"/>
          <w:sz w:val="21"/>
          <w:szCs w:val="21"/>
        </w:rPr>
        <w:t xml:space="preserve">Carrizales, T.J. </w:t>
      </w:r>
      <w:r w:rsidRPr="00AC4834">
        <w:rPr>
          <w:rFonts w:ascii="Calibri" w:eastAsia="Times New Roman" w:hAnsi="Calibri" w:cs="Calibri"/>
          <w:color w:val="000000" w:themeColor="text1"/>
          <w:sz w:val="21"/>
          <w:szCs w:val="21"/>
        </w:rPr>
        <w:t xml:space="preserve"> (2018) ‘</w:t>
      </w:r>
      <w:r w:rsidRPr="00AC4834">
        <w:rPr>
          <w:rFonts w:ascii="Calibri" w:hAnsi="Calibri" w:cs="Calibri"/>
          <w:color w:val="000000" w:themeColor="text1"/>
          <w:sz w:val="21"/>
          <w:szCs w:val="21"/>
        </w:rPr>
        <w:t xml:space="preserve">Global comparative Public Administration: are graduate programs responding to the call?’ </w:t>
      </w:r>
      <w:r w:rsidRPr="00AC4834">
        <w:rPr>
          <w:rFonts w:ascii="Calibri" w:hAnsi="Calibri" w:cs="Calibri"/>
          <w:i/>
          <w:color w:val="000000" w:themeColor="text1"/>
          <w:sz w:val="21"/>
          <w:szCs w:val="21"/>
        </w:rPr>
        <w:t>Teaching Public</w:t>
      </w:r>
      <w:r w:rsidRPr="00AC4834">
        <w:rPr>
          <w:rFonts w:ascii="Calibri" w:hAnsi="Calibri" w:cs="Calibri"/>
          <w:color w:val="000000" w:themeColor="text1"/>
          <w:sz w:val="21"/>
          <w:szCs w:val="21"/>
        </w:rPr>
        <w:t xml:space="preserve"> </w:t>
      </w:r>
      <w:r w:rsidRPr="00AC4834">
        <w:rPr>
          <w:rFonts w:ascii="Calibri" w:hAnsi="Calibri" w:cs="Calibri"/>
          <w:i/>
          <w:color w:val="000000" w:themeColor="text1"/>
          <w:sz w:val="21"/>
          <w:szCs w:val="21"/>
        </w:rPr>
        <w:t xml:space="preserve">Administration </w:t>
      </w:r>
      <w:r w:rsidRPr="00AC4834">
        <w:rPr>
          <w:rFonts w:ascii="Calibri" w:hAnsi="Calibri" w:cs="Calibri"/>
          <w:color w:val="000000" w:themeColor="text1"/>
          <w:sz w:val="21"/>
          <w:szCs w:val="21"/>
        </w:rPr>
        <w:t>36 (1): 34–49.</w:t>
      </w:r>
    </w:p>
    <w:p w14:paraId="302D6E2E"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i/>
          <w:color w:val="000000" w:themeColor="text1"/>
          <w:sz w:val="21"/>
          <w:szCs w:val="21"/>
        </w:rPr>
      </w:pPr>
      <w:r w:rsidRPr="00AC4834">
        <w:rPr>
          <w:rFonts w:ascii="Calibri" w:hAnsi="Calibri" w:cs="Calibri"/>
          <w:color w:val="000000" w:themeColor="text1"/>
          <w:sz w:val="21"/>
          <w:szCs w:val="21"/>
        </w:rPr>
        <w:t xml:space="preserve">Matzslita, 2020 ‘Decolonisation in the field of public administration: The responsiveness of the scholarship of teaching and learning’, </w:t>
      </w:r>
      <w:r w:rsidRPr="00AC4834">
        <w:rPr>
          <w:rFonts w:ascii="Calibri" w:hAnsi="Calibri" w:cs="Calibri"/>
          <w:i/>
          <w:color w:val="000000" w:themeColor="text1"/>
          <w:sz w:val="21"/>
          <w:szCs w:val="21"/>
        </w:rPr>
        <w:t>Teaching Public Administration</w:t>
      </w:r>
      <w:r w:rsidRPr="00AC4834">
        <w:rPr>
          <w:rFonts w:ascii="Calibri" w:hAnsi="Calibri" w:cs="Calibri"/>
          <w:color w:val="000000" w:themeColor="text1"/>
          <w:sz w:val="21"/>
          <w:szCs w:val="21"/>
        </w:rPr>
        <w:t xml:space="preserve">,  Available at: </w:t>
      </w:r>
      <w:hyperlink r:id="rId54" w:history="1">
        <w:r w:rsidRPr="00AC4834">
          <w:rPr>
            <w:rStyle w:val="Hyperlink"/>
            <w:rFonts w:ascii="Calibri" w:hAnsi="Calibri" w:cs="Calibri"/>
            <w:color w:val="000000" w:themeColor="text1"/>
            <w:sz w:val="21"/>
            <w:szCs w:val="21"/>
          </w:rPr>
          <w:t>https://journals.sagepub.com/doi/full/10.1177/0144739420901743?casa_token=VmYkmSZX1DsAAAAA%3AibXOwSqJFpVbiWF1u88eg852KUMNaCoHd2VYYWwADPmkDIAu07XR7MLTEROFKm_hCRv3kVkIgVBdbQ</w:t>
        </w:r>
      </w:hyperlink>
      <w:r w:rsidRPr="00AC4834">
        <w:rPr>
          <w:rFonts w:ascii="Calibri" w:hAnsi="Calibri" w:cs="Calibri"/>
          <w:color w:val="000000" w:themeColor="text1"/>
          <w:sz w:val="21"/>
          <w:szCs w:val="21"/>
        </w:rPr>
        <w:t xml:space="preserve"> </w:t>
      </w:r>
    </w:p>
    <w:p w14:paraId="59E8B9DE"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Mazrui, Ali (1995). “The Blood of Experience: The Failed State and Political Collapse in Africa”, </w:t>
      </w:r>
      <w:r w:rsidRPr="00AC4834">
        <w:rPr>
          <w:rFonts w:ascii="Calibri" w:hAnsi="Calibri" w:cs="Calibri"/>
          <w:i/>
          <w:iCs/>
          <w:color w:val="000000" w:themeColor="text1"/>
          <w:sz w:val="21"/>
          <w:szCs w:val="21"/>
        </w:rPr>
        <w:t>World Policy Journal</w:t>
      </w:r>
      <w:r w:rsidRPr="00AC4834">
        <w:rPr>
          <w:rFonts w:ascii="Calibri" w:hAnsi="Calibri" w:cs="Calibri"/>
          <w:color w:val="000000" w:themeColor="text1"/>
          <w:sz w:val="21"/>
          <w:szCs w:val="21"/>
        </w:rPr>
        <w:t>, 12 (1): 28-34.</w:t>
      </w:r>
    </w:p>
    <w:p w14:paraId="502F6DB6"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lang w:val="de-DE"/>
        </w:rPr>
        <w:t xml:space="preserve">Nişancıoğlu, K., Gebrial, D., &amp; Bhambra, G. K. (2018). </w:t>
      </w:r>
      <w:r w:rsidRPr="00AC4834">
        <w:rPr>
          <w:rFonts w:ascii="Calibri" w:hAnsi="Calibri" w:cs="Calibri"/>
          <w:i/>
          <w:iCs/>
          <w:color w:val="000000" w:themeColor="text1"/>
          <w:sz w:val="21"/>
          <w:szCs w:val="21"/>
        </w:rPr>
        <w:t>Decolonising the University</w:t>
      </w:r>
      <w:r w:rsidRPr="00AC4834">
        <w:rPr>
          <w:rFonts w:ascii="Calibri" w:hAnsi="Calibri" w:cs="Calibri"/>
          <w:color w:val="000000" w:themeColor="text1"/>
          <w:sz w:val="21"/>
          <w:szCs w:val="21"/>
        </w:rPr>
        <w:t>: Pluto Press.</w:t>
      </w:r>
    </w:p>
    <w:p w14:paraId="4690C6D1" w14:textId="77777777" w:rsidR="00AC4834" w:rsidRPr="00AC4834" w:rsidRDefault="00AC4834" w:rsidP="00AC4834">
      <w:pPr>
        <w:pStyle w:val="ListParagraph"/>
        <w:numPr>
          <w:ilvl w:val="0"/>
          <w:numId w:val="4"/>
        </w:numPr>
        <w:autoSpaceDE w:val="0"/>
        <w:autoSpaceDN w:val="0"/>
        <w:adjustRightInd w:val="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Nossal, Kim Richard. 2001. “Tales that Textbooks Tell: Ethnocentricity and Diversity in American Introductions to International Relations.” In </w:t>
      </w:r>
      <w:r w:rsidRPr="00AC4834">
        <w:rPr>
          <w:rFonts w:ascii="Calibri" w:hAnsi="Calibri" w:cs="Calibri"/>
          <w:i/>
          <w:iCs/>
          <w:color w:val="000000" w:themeColor="text1"/>
          <w:sz w:val="21"/>
          <w:szCs w:val="21"/>
        </w:rPr>
        <w:t>International Relations: Still an American Social Science? Toward Diversity in International Thought</w:t>
      </w:r>
      <w:r w:rsidRPr="00AC4834">
        <w:rPr>
          <w:rFonts w:ascii="Calibri" w:hAnsi="Calibri" w:cs="Calibri"/>
          <w:color w:val="000000" w:themeColor="text1"/>
          <w:sz w:val="21"/>
          <w:szCs w:val="21"/>
        </w:rPr>
        <w:t xml:space="preserve">, edited by Robert M. A. Crawford and Darryl S. L. Jervis 167-186 Albany, NY: State University of New York Press. </w:t>
      </w:r>
    </w:p>
    <w:p w14:paraId="3B2828C0"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Noxolo, Patricia (2017). “Decolonial Theory in a Time of the Re-Colonisation of UK Research”, </w:t>
      </w:r>
      <w:r w:rsidRPr="00AC4834">
        <w:rPr>
          <w:rFonts w:ascii="Calibri" w:hAnsi="Calibri" w:cs="Calibri"/>
          <w:i/>
          <w:iCs/>
          <w:color w:val="000000" w:themeColor="text1"/>
          <w:sz w:val="21"/>
          <w:szCs w:val="21"/>
        </w:rPr>
        <w:t>Transactions of the Institute of British Geographers</w:t>
      </w:r>
      <w:r w:rsidRPr="00AC4834">
        <w:rPr>
          <w:rFonts w:ascii="Calibri" w:hAnsi="Calibri" w:cs="Calibri"/>
          <w:color w:val="000000" w:themeColor="text1"/>
          <w:sz w:val="21"/>
          <w:szCs w:val="21"/>
        </w:rPr>
        <w:t>, 42 (3): 342-344.</w:t>
      </w:r>
    </w:p>
    <w:p w14:paraId="0EB02C03"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Pailey, Robtel Neajai (2020). “De-centring the ‘White Gaze’ of Development”, </w:t>
      </w:r>
      <w:r w:rsidRPr="00AC4834">
        <w:rPr>
          <w:rFonts w:ascii="Calibri" w:hAnsi="Calibri" w:cs="Calibri"/>
          <w:i/>
          <w:iCs/>
          <w:color w:val="000000" w:themeColor="text1"/>
          <w:sz w:val="21"/>
          <w:szCs w:val="21"/>
        </w:rPr>
        <w:t>Development and Change</w:t>
      </w:r>
      <w:r w:rsidRPr="00AC4834">
        <w:rPr>
          <w:rFonts w:ascii="Calibri" w:hAnsi="Calibri" w:cs="Calibri"/>
          <w:color w:val="000000" w:themeColor="text1"/>
          <w:sz w:val="21"/>
          <w:szCs w:val="21"/>
        </w:rPr>
        <w:t>, 51 (3): 729-745.</w:t>
      </w:r>
    </w:p>
    <w:p w14:paraId="179535E6"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Patel, Kamna (2020). “Race and a Decolonial Turn in Development Studies”, </w:t>
      </w:r>
      <w:r w:rsidRPr="00AC4834">
        <w:rPr>
          <w:rFonts w:ascii="Calibri" w:hAnsi="Calibri" w:cs="Calibri"/>
          <w:i/>
          <w:iCs/>
          <w:color w:val="000000" w:themeColor="text1"/>
          <w:sz w:val="21"/>
          <w:szCs w:val="21"/>
        </w:rPr>
        <w:t>Third World Quarterly</w:t>
      </w:r>
      <w:r w:rsidRPr="00AC4834">
        <w:rPr>
          <w:rFonts w:ascii="Calibri" w:hAnsi="Calibri" w:cs="Calibri"/>
          <w:color w:val="000000" w:themeColor="text1"/>
          <w:sz w:val="21"/>
          <w:szCs w:val="21"/>
        </w:rPr>
        <w:t xml:space="preserve"> (Online First).</w:t>
      </w:r>
    </w:p>
    <w:p w14:paraId="524184FB"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Quinlan, Orla &amp; Sayed, Yusuf (2016), ‘</w:t>
      </w:r>
      <w:r w:rsidRPr="00AC4834">
        <w:rPr>
          <w:rStyle w:val="Strong"/>
          <w:rFonts w:ascii="Calibri" w:hAnsi="Calibri" w:cs="Calibri"/>
          <w:b w:val="0"/>
          <w:bCs w:val="0"/>
          <w:color w:val="000000" w:themeColor="text1"/>
          <w:sz w:val="21"/>
          <w:szCs w:val="21"/>
          <w:bdr w:val="none" w:sz="0" w:space="0" w:color="auto" w:frame="1"/>
        </w:rPr>
        <w:t xml:space="preserve">Changing what universities teach is a process, not a single event’, </w:t>
      </w:r>
      <w:r w:rsidRPr="00AC4834">
        <w:rPr>
          <w:rStyle w:val="Strong"/>
          <w:rFonts w:ascii="Calibri" w:hAnsi="Calibri" w:cs="Calibri"/>
          <w:b w:val="0"/>
          <w:bCs w:val="0"/>
          <w:i/>
          <w:iCs/>
          <w:color w:val="000000" w:themeColor="text1"/>
          <w:sz w:val="21"/>
          <w:szCs w:val="21"/>
          <w:bdr w:val="none" w:sz="0" w:space="0" w:color="auto" w:frame="1"/>
        </w:rPr>
        <w:t>The Conversation</w:t>
      </w:r>
      <w:r w:rsidRPr="00AC4834">
        <w:rPr>
          <w:rStyle w:val="Strong"/>
          <w:rFonts w:ascii="Calibri" w:hAnsi="Calibri" w:cs="Calibri"/>
          <w:b w:val="0"/>
          <w:bCs w:val="0"/>
          <w:color w:val="000000" w:themeColor="text1"/>
          <w:sz w:val="21"/>
          <w:szCs w:val="21"/>
          <w:bdr w:val="none" w:sz="0" w:space="0" w:color="auto" w:frame="1"/>
        </w:rPr>
        <w:t>, 6th June 2016, available at</w:t>
      </w:r>
      <w:r w:rsidRPr="00AC4834">
        <w:rPr>
          <w:rStyle w:val="Strong"/>
          <w:rFonts w:ascii="Calibri" w:hAnsi="Calibri" w:cs="Calibri"/>
          <w:color w:val="000000" w:themeColor="text1"/>
          <w:sz w:val="21"/>
          <w:szCs w:val="21"/>
          <w:bdr w:val="none" w:sz="0" w:space="0" w:color="auto" w:frame="1"/>
        </w:rPr>
        <w:t xml:space="preserve"> </w:t>
      </w:r>
      <w:hyperlink r:id="rId55" w:history="1">
        <w:r w:rsidRPr="00AC4834">
          <w:rPr>
            <w:rStyle w:val="Hyperlink"/>
            <w:rFonts w:ascii="Calibri" w:hAnsi="Calibri" w:cs="Calibri"/>
            <w:color w:val="000000" w:themeColor="text1"/>
            <w:sz w:val="21"/>
            <w:szCs w:val="21"/>
          </w:rPr>
          <w:t>https://theconversation.com/changing-what-universities-teach-is-a-process-not-a-single-event-59327</w:t>
        </w:r>
      </w:hyperlink>
      <w:r w:rsidRPr="00AC4834">
        <w:rPr>
          <w:rFonts w:ascii="Calibri" w:hAnsi="Calibri" w:cs="Calibri"/>
          <w:color w:val="000000" w:themeColor="text1"/>
          <w:sz w:val="21"/>
          <w:szCs w:val="21"/>
        </w:rPr>
        <w:t>, accessed 19</w:t>
      </w:r>
      <w:r w:rsidRPr="00AC4834">
        <w:rPr>
          <w:rFonts w:ascii="Calibri" w:hAnsi="Calibri" w:cs="Calibri"/>
          <w:color w:val="000000" w:themeColor="text1"/>
          <w:sz w:val="21"/>
          <w:szCs w:val="21"/>
          <w:vertAlign w:val="superscript"/>
        </w:rPr>
        <w:t>th</w:t>
      </w:r>
      <w:r w:rsidRPr="00AC4834">
        <w:rPr>
          <w:rFonts w:ascii="Calibri" w:hAnsi="Calibri" w:cs="Calibri"/>
          <w:color w:val="000000" w:themeColor="text1"/>
          <w:sz w:val="21"/>
          <w:szCs w:val="21"/>
        </w:rPr>
        <w:t xml:space="preserve"> March 2020.</w:t>
      </w:r>
    </w:p>
    <w:p w14:paraId="36977583"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Rostow, Walt R (1960). </w:t>
      </w:r>
      <w:r w:rsidRPr="00AC4834">
        <w:rPr>
          <w:rFonts w:ascii="Calibri" w:hAnsi="Calibri" w:cs="Calibri"/>
          <w:i/>
          <w:iCs/>
          <w:color w:val="000000" w:themeColor="text1"/>
          <w:sz w:val="21"/>
          <w:szCs w:val="21"/>
        </w:rPr>
        <w:t xml:space="preserve">The Stages of Economic Growth: A Non-Communist Manifesto </w:t>
      </w:r>
      <w:r w:rsidRPr="00AC4834">
        <w:rPr>
          <w:rFonts w:ascii="Calibri" w:hAnsi="Calibri" w:cs="Calibri"/>
          <w:color w:val="000000" w:themeColor="text1"/>
          <w:sz w:val="21"/>
          <w:szCs w:val="21"/>
        </w:rPr>
        <w:t>(Cambridge: Cambridge University Press).</w:t>
      </w:r>
    </w:p>
    <w:p w14:paraId="6B8404BE"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Sachs, Jeffrey (2005). </w:t>
      </w:r>
      <w:r w:rsidRPr="00AC4834">
        <w:rPr>
          <w:rFonts w:ascii="Calibri" w:hAnsi="Calibri" w:cs="Calibri"/>
          <w:i/>
          <w:iCs/>
          <w:color w:val="000000" w:themeColor="text1"/>
          <w:sz w:val="21"/>
          <w:szCs w:val="21"/>
        </w:rPr>
        <w:t>The End of Poverty: How We Can Make It Happen In Our Lifetime</w:t>
      </w:r>
      <w:r w:rsidRPr="00AC4834">
        <w:rPr>
          <w:rFonts w:ascii="Calibri" w:hAnsi="Calibri" w:cs="Calibri"/>
          <w:color w:val="000000" w:themeColor="text1"/>
          <w:sz w:val="21"/>
          <w:szCs w:val="21"/>
        </w:rPr>
        <w:t xml:space="preserve"> (London: Penguin).</w:t>
      </w:r>
    </w:p>
    <w:p w14:paraId="42B6EB47" w14:textId="77777777" w:rsidR="00AC4834" w:rsidRPr="00AC4834" w:rsidRDefault="00AC4834" w:rsidP="00AC4834">
      <w:pPr>
        <w:pStyle w:val="ListParagraph"/>
        <w:numPr>
          <w:ilvl w:val="0"/>
          <w:numId w:val="4"/>
        </w:numPr>
        <w:autoSpaceDE w:val="0"/>
        <w:autoSpaceDN w:val="0"/>
        <w:adjustRightInd w:val="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Smith, Karen and Arlene B. Tickner. 2020. “Introduction: International Relations from the Global South” In </w:t>
      </w:r>
      <w:r w:rsidRPr="00AC4834">
        <w:rPr>
          <w:rFonts w:ascii="Calibri" w:hAnsi="Calibri" w:cs="Calibri"/>
          <w:i/>
          <w:iCs/>
          <w:color w:val="000000" w:themeColor="text1"/>
          <w:sz w:val="21"/>
          <w:szCs w:val="21"/>
        </w:rPr>
        <w:t>International Relations from the Global South: World of Difference</w:t>
      </w:r>
      <w:r w:rsidRPr="00AC4834">
        <w:rPr>
          <w:rFonts w:ascii="Calibri" w:hAnsi="Calibri" w:cs="Calibri"/>
          <w:color w:val="000000" w:themeColor="text1"/>
          <w:sz w:val="21"/>
          <w:szCs w:val="21"/>
        </w:rPr>
        <w:t>, edited by Arlene B. Tickner and Karen Smith, 1-14. New York: Routledge.</w:t>
      </w:r>
    </w:p>
    <w:p w14:paraId="7E6CDF2D"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Sultana, Farhana (2019). “Decolonizing Development Education and the Pursuit of Social Justice”, </w:t>
      </w:r>
      <w:r w:rsidRPr="00AC4834">
        <w:rPr>
          <w:rFonts w:ascii="Calibri" w:hAnsi="Calibri" w:cs="Calibri"/>
          <w:i/>
          <w:iCs/>
          <w:color w:val="000000" w:themeColor="text1"/>
          <w:sz w:val="21"/>
          <w:szCs w:val="21"/>
        </w:rPr>
        <w:t>Human Geography</w:t>
      </w:r>
      <w:r w:rsidRPr="00AC4834">
        <w:rPr>
          <w:rFonts w:ascii="Calibri" w:hAnsi="Calibri" w:cs="Calibri"/>
          <w:color w:val="000000" w:themeColor="text1"/>
          <w:sz w:val="21"/>
          <w:szCs w:val="21"/>
        </w:rPr>
        <w:t>, 12 (3): 31-46.</w:t>
      </w:r>
    </w:p>
    <w:p w14:paraId="31BAC021" w14:textId="77777777" w:rsidR="00AC4834" w:rsidRPr="00AC4834" w:rsidRDefault="00AC4834" w:rsidP="00AC4834">
      <w:pPr>
        <w:pStyle w:val="ListParagraph"/>
        <w:numPr>
          <w:ilvl w:val="0"/>
          <w:numId w:val="4"/>
        </w:numPr>
        <w:autoSpaceDE w:val="0"/>
        <w:autoSpaceDN w:val="0"/>
        <w:adjustRightInd w:val="0"/>
        <w:ind w:right="333"/>
        <w:rPr>
          <w:rFonts w:ascii="Calibri" w:hAnsi="Calibri" w:cs="Calibri"/>
          <w:color w:val="000000" w:themeColor="text1"/>
          <w:sz w:val="21"/>
          <w:szCs w:val="21"/>
        </w:rPr>
      </w:pPr>
      <w:r w:rsidRPr="00AC4834">
        <w:rPr>
          <w:rFonts w:ascii="Calibri" w:hAnsi="Calibri" w:cs="Calibri"/>
          <w:color w:val="000000" w:themeColor="text1"/>
          <w:sz w:val="21"/>
          <w:szCs w:val="21"/>
          <w:shd w:val="clear" w:color="auto" w:fill="FFFFFF"/>
          <w:lang w:eastAsia="en-GB"/>
        </w:rPr>
        <w:t xml:space="preserve">Tickner, </w:t>
      </w:r>
      <w:r w:rsidRPr="00AC4834">
        <w:rPr>
          <w:rFonts w:ascii="Calibri" w:hAnsi="Calibri" w:cs="Calibri"/>
          <w:color w:val="000000" w:themeColor="text1"/>
          <w:sz w:val="21"/>
          <w:szCs w:val="21"/>
        </w:rPr>
        <w:t xml:space="preserve">Arlene B. </w:t>
      </w:r>
      <w:r w:rsidRPr="00AC4834">
        <w:rPr>
          <w:rFonts w:ascii="Calibri" w:hAnsi="Calibri" w:cs="Calibri"/>
          <w:color w:val="000000" w:themeColor="text1"/>
          <w:sz w:val="21"/>
          <w:szCs w:val="21"/>
          <w:shd w:val="clear" w:color="auto" w:fill="FFFFFF"/>
          <w:lang w:eastAsia="en-GB"/>
        </w:rPr>
        <w:t>2013. “Core, periphery and (neo)imperialist International Relations.” </w:t>
      </w:r>
      <w:r w:rsidRPr="00AC4834">
        <w:rPr>
          <w:rFonts w:ascii="Calibri" w:hAnsi="Calibri" w:cs="Calibri"/>
          <w:i/>
          <w:iCs/>
          <w:color w:val="000000" w:themeColor="text1"/>
          <w:sz w:val="21"/>
          <w:szCs w:val="21"/>
          <w:lang w:eastAsia="en-GB"/>
        </w:rPr>
        <w:t>European Journal of International Relations</w:t>
      </w:r>
      <w:r w:rsidRPr="00AC4834">
        <w:rPr>
          <w:rFonts w:ascii="Calibri" w:hAnsi="Calibri" w:cs="Calibri"/>
          <w:color w:val="000000" w:themeColor="text1"/>
          <w:sz w:val="21"/>
          <w:szCs w:val="21"/>
          <w:shd w:val="clear" w:color="auto" w:fill="FFFFFF"/>
          <w:lang w:eastAsia="en-GB"/>
        </w:rPr>
        <w:t>, </w:t>
      </w:r>
      <w:r w:rsidRPr="00AC4834">
        <w:rPr>
          <w:rFonts w:ascii="Calibri" w:hAnsi="Calibri" w:cs="Calibri"/>
          <w:i/>
          <w:iCs/>
          <w:color w:val="000000" w:themeColor="text1"/>
          <w:sz w:val="21"/>
          <w:szCs w:val="21"/>
          <w:lang w:eastAsia="en-GB"/>
        </w:rPr>
        <w:t>19</w:t>
      </w:r>
      <w:r w:rsidRPr="00AC4834">
        <w:rPr>
          <w:rFonts w:ascii="Calibri" w:hAnsi="Calibri" w:cs="Calibri"/>
          <w:color w:val="000000" w:themeColor="text1"/>
          <w:sz w:val="21"/>
          <w:szCs w:val="21"/>
          <w:shd w:val="clear" w:color="auto" w:fill="FFFFFF"/>
          <w:lang w:eastAsia="en-GB"/>
        </w:rPr>
        <w:t>(3): 627–646.</w:t>
      </w:r>
    </w:p>
    <w:p w14:paraId="6469725A" w14:textId="77777777" w:rsidR="00AC4834" w:rsidRPr="00AC4834" w:rsidRDefault="00AC4834" w:rsidP="00AC4834">
      <w:pPr>
        <w:pStyle w:val="ListParagraph"/>
        <w:numPr>
          <w:ilvl w:val="0"/>
          <w:numId w:val="4"/>
        </w:numPr>
        <w:autoSpaceDE w:val="0"/>
        <w:autoSpaceDN w:val="0"/>
        <w:adjustRightInd w:val="0"/>
        <w:spacing w:after="120"/>
        <w:ind w:right="333"/>
        <w:rPr>
          <w:rFonts w:ascii="Calibri" w:hAnsi="Calibri" w:cs="Calibri"/>
          <w:i/>
          <w:color w:val="000000" w:themeColor="text1"/>
          <w:sz w:val="21"/>
          <w:szCs w:val="21"/>
        </w:rPr>
      </w:pPr>
      <w:r w:rsidRPr="00AC4834">
        <w:rPr>
          <w:rFonts w:ascii="Calibri" w:hAnsi="Calibri" w:cs="Calibri"/>
          <w:color w:val="000000" w:themeColor="text1"/>
          <w:sz w:val="21"/>
          <w:szCs w:val="21"/>
        </w:rPr>
        <w:t xml:space="preserve">Thadhani R. (2005) ‘Between monocles and veils: glimpses in postcolonial public administration’ </w:t>
      </w:r>
      <w:r w:rsidRPr="00AC4834">
        <w:rPr>
          <w:rFonts w:ascii="Calibri" w:hAnsi="Calibri" w:cs="Calibri"/>
          <w:i/>
          <w:color w:val="000000" w:themeColor="text1"/>
          <w:sz w:val="21"/>
          <w:szCs w:val="21"/>
        </w:rPr>
        <w:t>International Journal of Public Administration</w:t>
      </w:r>
      <w:r w:rsidRPr="00AC4834">
        <w:rPr>
          <w:rFonts w:ascii="Calibri" w:hAnsi="Calibri" w:cs="Calibri"/>
          <w:color w:val="000000" w:themeColor="text1"/>
          <w:sz w:val="21"/>
          <w:szCs w:val="21"/>
        </w:rPr>
        <w:t>, 28: 11-12, 973-988</w:t>
      </w:r>
    </w:p>
    <w:p w14:paraId="3C54C1A9" w14:textId="77777777" w:rsidR="00AC4834" w:rsidRPr="00AC4834" w:rsidRDefault="00AC4834" w:rsidP="00AC4834">
      <w:pPr>
        <w:pStyle w:val="ListParagraph"/>
        <w:numPr>
          <w:ilvl w:val="0"/>
          <w:numId w:val="4"/>
        </w:numPr>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Truman, Harry S (1947). </w:t>
      </w:r>
      <w:hyperlink r:id="rId56" w:history="1">
        <w:r w:rsidRPr="00AC4834">
          <w:rPr>
            <w:rStyle w:val="Hyperlink"/>
            <w:rFonts w:ascii="Calibri" w:hAnsi="Calibri" w:cs="Calibri"/>
            <w:i/>
            <w:iCs/>
            <w:color w:val="000000" w:themeColor="text1"/>
            <w:sz w:val="21"/>
            <w:szCs w:val="21"/>
          </w:rPr>
          <w:t>Address Before A Joint Session of Congress</w:t>
        </w:r>
      </w:hyperlink>
      <w:r w:rsidRPr="00AC4834">
        <w:rPr>
          <w:rFonts w:ascii="Calibri" w:hAnsi="Calibri" w:cs="Calibri"/>
          <w:i/>
          <w:iCs/>
          <w:color w:val="000000" w:themeColor="text1"/>
          <w:sz w:val="21"/>
          <w:szCs w:val="21"/>
        </w:rPr>
        <w:t>, March 12, 1947</w:t>
      </w:r>
      <w:r w:rsidRPr="00AC4834">
        <w:rPr>
          <w:rFonts w:ascii="Calibri" w:hAnsi="Calibri" w:cs="Calibri"/>
          <w:color w:val="000000" w:themeColor="text1"/>
          <w:sz w:val="21"/>
          <w:szCs w:val="21"/>
        </w:rPr>
        <w:t>.</w:t>
      </w:r>
    </w:p>
    <w:p w14:paraId="1A963781" w14:textId="77777777" w:rsidR="00AC4834" w:rsidRPr="00AC4834" w:rsidRDefault="00AC4834" w:rsidP="00AC4834">
      <w:pPr>
        <w:pStyle w:val="ListParagraph"/>
        <w:numPr>
          <w:ilvl w:val="0"/>
          <w:numId w:val="4"/>
        </w:numPr>
        <w:autoSpaceDE w:val="0"/>
        <w:autoSpaceDN w:val="0"/>
        <w:adjustRightInd w:val="0"/>
        <w:ind w:right="333"/>
        <w:rPr>
          <w:rFonts w:ascii="Calibri" w:hAnsi="Calibri" w:cs="Calibri"/>
          <w:color w:val="000000" w:themeColor="text1"/>
          <w:sz w:val="21"/>
          <w:szCs w:val="21"/>
        </w:rPr>
      </w:pPr>
      <w:r w:rsidRPr="00AC4834">
        <w:rPr>
          <w:rFonts w:ascii="Calibri" w:hAnsi="Calibri" w:cs="Calibri"/>
          <w:color w:val="000000" w:themeColor="text1"/>
          <w:sz w:val="21"/>
          <w:szCs w:val="21"/>
        </w:rPr>
        <w:t xml:space="preserve">Wæver, Ole. 1998. “The Sociology of a Not So International Discipline: American and European Developments in International Relations.” </w:t>
      </w:r>
      <w:r w:rsidRPr="00AC4834">
        <w:rPr>
          <w:rFonts w:ascii="Calibri" w:hAnsi="Calibri" w:cs="Calibri"/>
          <w:i/>
          <w:iCs/>
          <w:color w:val="000000" w:themeColor="text1"/>
          <w:sz w:val="21"/>
          <w:szCs w:val="21"/>
        </w:rPr>
        <w:t xml:space="preserve">International Organization </w:t>
      </w:r>
      <w:r w:rsidRPr="00AC4834">
        <w:rPr>
          <w:rFonts w:ascii="Calibri" w:hAnsi="Calibri" w:cs="Calibri"/>
          <w:color w:val="000000" w:themeColor="text1"/>
          <w:sz w:val="21"/>
          <w:szCs w:val="21"/>
        </w:rPr>
        <w:t>52 (4): 687-727.</w:t>
      </w:r>
    </w:p>
    <w:p w14:paraId="541858BC" w14:textId="0AC6009C" w:rsidR="00AC4834" w:rsidRPr="00AC4834" w:rsidRDefault="00AC4834" w:rsidP="00AC4834">
      <w:pPr>
        <w:pStyle w:val="ListParagraph"/>
        <w:numPr>
          <w:ilvl w:val="0"/>
          <w:numId w:val="4"/>
        </w:numPr>
        <w:autoSpaceDE w:val="0"/>
        <w:autoSpaceDN w:val="0"/>
        <w:adjustRightInd w:val="0"/>
        <w:ind w:right="333"/>
        <w:rPr>
          <w:rFonts w:ascii="Calibri" w:hAnsi="Calibri" w:cs="Calibri"/>
          <w:color w:val="000000" w:themeColor="text1"/>
          <w:sz w:val="21"/>
          <w:szCs w:val="21"/>
        </w:rPr>
      </w:pPr>
      <w:r w:rsidRPr="00AC4834">
        <w:rPr>
          <w:rFonts w:ascii="Calibri" w:hAnsi="Calibri" w:cs="Calibri"/>
          <w:color w:val="000000" w:themeColor="text1"/>
          <w:sz w:val="21"/>
          <w:szCs w:val="21"/>
        </w:rPr>
        <w:t>White H.L. and Rice M.F. (2005) ‘The multiple dimensions of diversity and culture’ in Rice MF (ed.) ‘Diversity and Public Administration: theory, issues, and perspectives’  (Armonk, NY: M. E. Sharpe): 3–21.</w:t>
      </w:r>
      <w:r w:rsidRPr="00AC4834">
        <w:rPr>
          <w:rFonts w:ascii="Calibri" w:eastAsia="Times New Roman" w:hAnsi="Calibri" w:cs="Calibri"/>
          <w:color w:val="000000" w:themeColor="text1"/>
          <w:sz w:val="21"/>
          <w:szCs w:val="21"/>
        </w:rPr>
        <w:t xml:space="preserve"> </w:t>
      </w:r>
    </w:p>
    <w:p w14:paraId="145F1F33" w14:textId="3B003336" w:rsidR="00365BBA" w:rsidRPr="00B06C54" w:rsidRDefault="00365BBA" w:rsidP="00AC4834">
      <w:pPr>
        <w:pStyle w:val="ListParagraph"/>
        <w:spacing w:after="120"/>
        <w:ind w:left="1287" w:right="333"/>
        <w:jc w:val="both"/>
        <w:rPr>
          <w:rFonts w:ascii="Calibri" w:hAnsi="Calibri" w:cs="Calibri"/>
        </w:rPr>
      </w:pPr>
    </w:p>
    <w:p w14:paraId="29DBCE37" w14:textId="29BED800" w:rsidR="006C242C" w:rsidRDefault="00B06C54">
      <w:pPr>
        <w:rPr>
          <w:rFonts w:ascii="Calibri" w:hAnsi="Calibri" w:cs="Calibri"/>
          <w:color w:val="4472C4" w:themeColor="accent1"/>
          <w:sz w:val="22"/>
          <w:szCs w:val="22"/>
        </w:rPr>
      </w:pPr>
      <w:r w:rsidRPr="008E1657">
        <w:rPr>
          <w:rFonts w:ascii="Calibri" w:hAnsi="Calibri" w:cs="Calibri"/>
          <w:noProof/>
          <w:color w:val="4472C4" w:themeColor="accent1"/>
          <w:sz w:val="22"/>
          <w:szCs w:val="22"/>
          <w:lang w:eastAsia="en-GB"/>
        </w:rPr>
        <w:drawing>
          <wp:anchor distT="0" distB="0" distL="114300" distR="114300" simplePos="0" relativeHeight="251672576" behindDoc="0" locked="0" layoutInCell="1" allowOverlap="1" wp14:anchorId="28BBF2BB" wp14:editId="603FE352">
            <wp:simplePos x="0" y="0"/>
            <wp:positionH relativeFrom="column">
              <wp:posOffset>-742950</wp:posOffset>
            </wp:positionH>
            <wp:positionV relativeFrom="paragraph">
              <wp:posOffset>-1911278</wp:posOffset>
            </wp:positionV>
            <wp:extent cx="7856855" cy="10850880"/>
            <wp:effectExtent l="0" t="0" r="4445" b="0"/>
            <wp:wrapNone/>
            <wp:docPr id="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56855" cy="10850880"/>
                    </a:xfrm>
                    <a:prstGeom prst="rect">
                      <a:avLst/>
                    </a:prstGeom>
                    <a:noFill/>
                  </pic:spPr>
                </pic:pic>
              </a:graphicData>
            </a:graphic>
            <wp14:sizeRelH relativeFrom="page">
              <wp14:pctWidth>0</wp14:pctWidth>
            </wp14:sizeRelH>
            <wp14:sizeRelV relativeFrom="page">
              <wp14:pctHeight>0</wp14:pctHeight>
            </wp14:sizeRelV>
          </wp:anchor>
        </w:drawing>
      </w:r>
    </w:p>
    <w:p w14:paraId="14C7E1B7" w14:textId="6725A1D8" w:rsidR="00933EA1" w:rsidRPr="00933EA1" w:rsidRDefault="00933EA1" w:rsidP="00DB16C5">
      <w:pPr>
        <w:ind w:left="567"/>
        <w:rPr>
          <w:rFonts w:ascii="Calibri" w:hAnsi="Calibri" w:cs="Calibri"/>
          <w:color w:val="4472C4" w:themeColor="accent1"/>
          <w:sz w:val="22"/>
          <w:szCs w:val="22"/>
        </w:rPr>
      </w:pPr>
    </w:p>
    <w:p w14:paraId="004575B2" w14:textId="1CA0BAA4" w:rsidR="00BD3500" w:rsidRPr="00933EA1" w:rsidRDefault="00BD3500" w:rsidP="00DB16C5">
      <w:pPr>
        <w:spacing w:after="120"/>
        <w:ind w:left="567"/>
        <w:rPr>
          <w:rFonts w:ascii="Calibri" w:hAnsi="Calibri" w:cs="Calibri"/>
          <w:color w:val="4472C4" w:themeColor="accent1"/>
          <w:sz w:val="22"/>
          <w:szCs w:val="22"/>
        </w:rPr>
      </w:pPr>
    </w:p>
    <w:sectPr w:rsidR="00BD3500" w:rsidRPr="00933EA1" w:rsidSect="00334391">
      <w:pgSz w:w="12240" w:h="15840"/>
      <w:pgMar w:top="1134" w:right="1134" w:bottom="926"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5D69F4" w14:textId="77777777" w:rsidR="002855ED" w:rsidRDefault="002855ED" w:rsidP="00A8144E">
      <w:r>
        <w:separator/>
      </w:r>
    </w:p>
  </w:endnote>
  <w:endnote w:type="continuationSeparator" w:id="0">
    <w:p w14:paraId="0874ECD6" w14:textId="77777777" w:rsidR="002855ED" w:rsidRDefault="002855ED" w:rsidP="00A81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Times New Roman (Headings CS)">
    <w:panose1 w:val="00000000000000000000"/>
    <w:charset w:val="00"/>
    <w:family w:val="roman"/>
    <w:notTrueType/>
    <w:pitch w:val="default"/>
  </w:font>
  <w:font w:name="Arial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278689264"/>
      <w:docPartObj>
        <w:docPartGallery w:val="Page Numbers (Bottom of Page)"/>
        <w:docPartUnique/>
      </w:docPartObj>
    </w:sdtPr>
    <w:sdtEndPr>
      <w:rPr>
        <w:rStyle w:val="PageNumber"/>
      </w:rPr>
    </w:sdtEndPr>
    <w:sdtContent>
      <w:p w14:paraId="1AB5B072" w14:textId="4BAF7B5B" w:rsidR="005318B9" w:rsidRDefault="005318B9" w:rsidP="00DD39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5F07A9" w14:textId="77777777" w:rsidR="005318B9" w:rsidRDefault="005318B9" w:rsidP="005318B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06649" w14:textId="5B4A3578" w:rsidR="005318B9" w:rsidRPr="005318B9" w:rsidRDefault="005318B9" w:rsidP="00DD3934">
    <w:pPr>
      <w:pStyle w:val="Footer"/>
      <w:framePr w:wrap="none" w:vAnchor="text" w:hAnchor="margin" w:xAlign="right" w:y="1"/>
      <w:rPr>
        <w:rStyle w:val="PageNumber"/>
        <w:rFonts w:ascii="Calibri" w:hAnsi="Calibri" w:cs="Calibri"/>
        <w:b/>
        <w:bCs/>
        <w:color w:val="588392"/>
      </w:rPr>
    </w:pPr>
    <w:r w:rsidRPr="005318B9">
      <w:rPr>
        <w:rStyle w:val="PageNumber"/>
        <w:rFonts w:ascii="Calibri" w:hAnsi="Calibri" w:cs="Calibri"/>
        <w:b/>
        <w:bCs/>
        <w:color w:val="588392"/>
      </w:rPr>
      <w:t xml:space="preserve">Page </w:t>
    </w:r>
    <w:sdt>
      <w:sdtPr>
        <w:rPr>
          <w:rStyle w:val="PageNumber"/>
          <w:rFonts w:ascii="Calibri" w:hAnsi="Calibri" w:cs="Calibri"/>
          <w:b/>
          <w:bCs/>
          <w:color w:val="588392"/>
        </w:rPr>
        <w:id w:val="-238550773"/>
        <w:docPartObj>
          <w:docPartGallery w:val="Page Numbers (Bottom of Page)"/>
          <w:docPartUnique/>
        </w:docPartObj>
      </w:sdtPr>
      <w:sdtEndPr>
        <w:rPr>
          <w:rStyle w:val="PageNumber"/>
        </w:rPr>
      </w:sdtEndPr>
      <w:sdtContent>
        <w:r w:rsidRPr="005318B9">
          <w:rPr>
            <w:rStyle w:val="PageNumber"/>
            <w:rFonts w:ascii="Calibri" w:hAnsi="Calibri" w:cs="Calibri"/>
            <w:b/>
            <w:bCs/>
            <w:color w:val="588392"/>
          </w:rPr>
          <w:fldChar w:fldCharType="begin"/>
        </w:r>
        <w:r w:rsidRPr="005318B9">
          <w:rPr>
            <w:rStyle w:val="PageNumber"/>
            <w:rFonts w:ascii="Calibri" w:hAnsi="Calibri" w:cs="Calibri"/>
            <w:b/>
            <w:bCs/>
            <w:color w:val="588392"/>
          </w:rPr>
          <w:instrText xml:space="preserve"> PAGE </w:instrText>
        </w:r>
        <w:r w:rsidRPr="005318B9">
          <w:rPr>
            <w:rStyle w:val="PageNumber"/>
            <w:rFonts w:ascii="Calibri" w:hAnsi="Calibri" w:cs="Calibri"/>
            <w:b/>
            <w:bCs/>
            <w:color w:val="588392"/>
          </w:rPr>
          <w:fldChar w:fldCharType="separate"/>
        </w:r>
        <w:r w:rsidR="00FF0C5B">
          <w:rPr>
            <w:rStyle w:val="PageNumber"/>
            <w:rFonts w:ascii="Calibri" w:hAnsi="Calibri" w:cs="Calibri"/>
            <w:b/>
            <w:bCs/>
            <w:noProof/>
            <w:color w:val="588392"/>
          </w:rPr>
          <w:t>1</w:t>
        </w:r>
        <w:r w:rsidRPr="005318B9">
          <w:rPr>
            <w:rStyle w:val="PageNumber"/>
            <w:rFonts w:ascii="Calibri" w:hAnsi="Calibri" w:cs="Calibri"/>
            <w:b/>
            <w:bCs/>
            <w:color w:val="588392"/>
          </w:rPr>
          <w:fldChar w:fldCharType="end"/>
        </w:r>
      </w:sdtContent>
    </w:sdt>
  </w:p>
  <w:p w14:paraId="6F6B8A4F" w14:textId="532B6BC3" w:rsidR="00A70BD8" w:rsidRPr="005318B9" w:rsidRDefault="00A70BD8" w:rsidP="005318B9">
    <w:pPr>
      <w:pStyle w:val="Footer"/>
      <w:ind w:right="360"/>
      <w:rPr>
        <w:rFonts w:ascii="Calibri" w:hAnsi="Calibri" w:cs="Calibri"/>
        <w:color w:val="009193"/>
      </w:rPr>
    </w:pPr>
    <w:r w:rsidRPr="005318B9">
      <w:rPr>
        <w:rFonts w:ascii="Calibri" w:hAnsi="Calibri" w:cs="Calibri"/>
        <w:noProof/>
        <w:color w:val="009193"/>
        <w:lang w:eastAsia="en-GB"/>
      </w:rPr>
      <w:drawing>
        <wp:anchor distT="0" distB="0" distL="114300" distR="114300" simplePos="0" relativeHeight="251659264" behindDoc="0" locked="0" layoutInCell="1" allowOverlap="1" wp14:anchorId="43D1E817" wp14:editId="3C00F207">
          <wp:simplePos x="0" y="0"/>
          <wp:positionH relativeFrom="column">
            <wp:posOffset>-742950</wp:posOffset>
          </wp:positionH>
          <wp:positionV relativeFrom="paragraph">
            <wp:posOffset>-928742</wp:posOffset>
          </wp:positionV>
          <wp:extent cx="1820917" cy="1791186"/>
          <wp:effectExtent l="0" t="0" r="0" b="0"/>
          <wp:wrapNone/>
          <wp:docPr id="7" name="Picture 7" descr="A close u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20917" cy="1791186"/>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1AB48A" w14:textId="77777777" w:rsidR="002855ED" w:rsidRDefault="002855ED" w:rsidP="00A8144E">
      <w:r>
        <w:separator/>
      </w:r>
    </w:p>
  </w:footnote>
  <w:footnote w:type="continuationSeparator" w:id="0">
    <w:p w14:paraId="4831B90E" w14:textId="77777777" w:rsidR="002855ED" w:rsidRDefault="002855ED" w:rsidP="00A8144E">
      <w:r>
        <w:continuationSeparator/>
      </w:r>
    </w:p>
  </w:footnote>
  <w:footnote w:id="1">
    <w:p w14:paraId="4BF940CD" w14:textId="63947DCA" w:rsidR="00A70BD8" w:rsidRPr="004462D8" w:rsidRDefault="00A70BD8" w:rsidP="004462D8">
      <w:pPr>
        <w:pStyle w:val="FootnoteText"/>
        <w:jc w:val="both"/>
        <w:rPr>
          <w:rFonts w:ascii="Calibri" w:hAnsi="Calibri" w:cs="Calibri"/>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See, for instance, the works of Gurminder Bhambra, Robbie Shilliam (in international relations), Charles Mills (in political theory/philosophy), Robyn Kelly, and others.</w:t>
      </w:r>
    </w:p>
    <w:p w14:paraId="0A62B1A6" w14:textId="5858D948" w:rsidR="00A70BD8" w:rsidRPr="004462D8" w:rsidRDefault="00A70BD8" w:rsidP="004462D8">
      <w:pPr>
        <w:spacing w:after="120"/>
        <w:jc w:val="both"/>
        <w:rPr>
          <w:rFonts w:ascii="Calibri" w:hAnsi="Calibri" w:cs="Calibri"/>
          <w:bCs/>
          <w:sz w:val="18"/>
          <w:szCs w:val="18"/>
        </w:rPr>
      </w:pPr>
      <w:r w:rsidRPr="004462D8">
        <w:rPr>
          <w:rFonts w:ascii="Calibri" w:hAnsi="Calibri" w:cs="Calibri"/>
          <w:bCs/>
          <w:sz w:val="18"/>
          <w:szCs w:val="18"/>
        </w:rPr>
        <w:t xml:space="preserve">Sources/Further reading: SOAS Decolonising the Curriculum; </w:t>
      </w:r>
      <w:hyperlink r:id="rId1" w:history="1">
        <w:r w:rsidRPr="004462D8">
          <w:rPr>
            <w:rStyle w:val="Hyperlink"/>
            <w:rFonts w:ascii="Calibri" w:hAnsi="Calibri" w:cs="Calibri"/>
            <w:bCs/>
            <w:sz w:val="18"/>
            <w:szCs w:val="18"/>
          </w:rPr>
          <w:t>https://theconversation.com/questions-academics-can-ask-to-decolonise-their-classrooms-103251</w:t>
        </w:r>
      </w:hyperlink>
      <w:r w:rsidRPr="004462D8">
        <w:rPr>
          <w:rFonts w:ascii="Calibri" w:hAnsi="Calibri" w:cs="Calibri"/>
          <w:bCs/>
          <w:sz w:val="18"/>
          <w:szCs w:val="18"/>
        </w:rPr>
        <w:t>;</w:t>
      </w:r>
      <w:hyperlink r:id="rId2" w:history="1">
        <w:r w:rsidRPr="005A5F23">
          <w:rPr>
            <w:rStyle w:val="Hyperlink"/>
            <w:rFonts w:ascii="Calibri" w:hAnsi="Calibri" w:cs="Calibri"/>
            <w:bCs/>
            <w:sz w:val="18"/>
            <w:szCs w:val="18"/>
          </w:rPr>
          <w:t>https://daisyblack.uk/decolonising-the-medieval-curriculum-critical-questions/</w:t>
        </w:r>
      </w:hyperlink>
      <w:r w:rsidRPr="004462D8">
        <w:rPr>
          <w:rFonts w:ascii="Calibri" w:hAnsi="Calibri" w:cs="Calibri"/>
          <w:bCs/>
          <w:sz w:val="18"/>
          <w:szCs w:val="18"/>
        </w:rPr>
        <w:t xml:space="preserve">; </w:t>
      </w:r>
      <w:hyperlink r:id="rId3" w:history="1">
        <w:r w:rsidRPr="004462D8">
          <w:rPr>
            <w:rStyle w:val="Hyperlink"/>
            <w:rFonts w:ascii="Calibri" w:hAnsi="Calibri" w:cs="Calibri"/>
            <w:bCs/>
            <w:sz w:val="18"/>
            <w:szCs w:val="18"/>
          </w:rPr>
          <w:t>https://commons.georgetown.edu/static/files/inclusive-pedagogy-pamphlet.pdf</w:t>
        </w:r>
      </w:hyperlink>
      <w:r w:rsidRPr="004462D8">
        <w:rPr>
          <w:rFonts w:ascii="Calibri" w:hAnsi="Calibri" w:cs="Calibri"/>
          <w:bCs/>
          <w:sz w:val="18"/>
          <w:szCs w:val="18"/>
        </w:rPr>
        <w:t xml:space="preserve"> </w:t>
      </w:r>
    </w:p>
    <w:p w14:paraId="4F494E0A" w14:textId="77777777" w:rsidR="00A70BD8" w:rsidRPr="004462D8" w:rsidRDefault="00A70BD8" w:rsidP="004462D8">
      <w:pPr>
        <w:pStyle w:val="FootnoteText"/>
        <w:jc w:val="both"/>
        <w:rPr>
          <w:rFonts w:ascii="Calibri" w:hAnsi="Calibri" w:cs="Calibri"/>
          <w:sz w:val="18"/>
          <w:szCs w:val="18"/>
        </w:rPr>
      </w:pPr>
    </w:p>
  </w:footnote>
  <w:footnote w:id="2">
    <w:p w14:paraId="6A5F20D9" w14:textId="77777777" w:rsidR="00A70BD8" w:rsidRPr="004462D8" w:rsidRDefault="00A70BD8" w:rsidP="004462D8">
      <w:pPr>
        <w:pStyle w:val="FootnoteText"/>
        <w:jc w:val="both"/>
        <w:rPr>
          <w:rFonts w:ascii="Calibri" w:hAnsi="Calibri" w:cs="Calibri"/>
          <w:sz w:val="18"/>
          <w:szCs w:val="18"/>
          <w:lang w:val="en-US"/>
        </w:rPr>
      </w:pPr>
      <w:r w:rsidRPr="004462D8">
        <w:rPr>
          <w:rStyle w:val="FootnoteReference"/>
          <w:rFonts w:ascii="Calibri" w:hAnsi="Calibri" w:cs="Calibri"/>
          <w:sz w:val="18"/>
          <w:szCs w:val="18"/>
        </w:rPr>
        <w:footnoteRef/>
      </w:r>
      <w:r w:rsidRPr="004462D8">
        <w:rPr>
          <w:rFonts w:ascii="Calibri" w:hAnsi="Calibri" w:cs="Calibri"/>
          <w:sz w:val="18"/>
          <w:szCs w:val="18"/>
        </w:rPr>
        <w:t xml:space="preserve"> </w:t>
      </w:r>
      <w:r w:rsidRPr="004462D8">
        <w:rPr>
          <w:rFonts w:ascii="Calibri" w:hAnsi="Calibri" w:cs="Calibri"/>
          <w:sz w:val="18"/>
          <w:szCs w:val="18"/>
          <w:lang w:val="en-US"/>
        </w:rPr>
        <w:t xml:space="preserve">Dipesh Chakrabarty, </w:t>
      </w:r>
      <w:r w:rsidRPr="004462D8">
        <w:rPr>
          <w:rFonts w:ascii="Calibri" w:hAnsi="Calibri" w:cs="Calibri"/>
          <w:i/>
          <w:iCs/>
          <w:sz w:val="18"/>
          <w:szCs w:val="18"/>
          <w:lang w:val="en-US"/>
        </w:rPr>
        <w:t>Provincializing Europe</w:t>
      </w:r>
      <w:r w:rsidRPr="004462D8">
        <w:rPr>
          <w:rFonts w:ascii="Calibri" w:hAnsi="Calibri" w:cs="Calibri"/>
          <w:sz w:val="18"/>
          <w:szCs w:val="18"/>
          <w:lang w:val="en-US"/>
        </w:rPr>
        <w:t xml:space="preserve"> (Princeton, N.J: Princeton University Press, 2008).</w:t>
      </w:r>
    </w:p>
  </w:footnote>
  <w:footnote w:id="3">
    <w:p w14:paraId="5E7C0736" w14:textId="77777777" w:rsidR="00A70BD8" w:rsidRPr="004462D8" w:rsidRDefault="00A70BD8" w:rsidP="004462D8">
      <w:pPr>
        <w:pStyle w:val="FootnoteText"/>
        <w:jc w:val="both"/>
        <w:rPr>
          <w:rFonts w:ascii="Calibri" w:hAnsi="Calibri" w:cs="Calibri"/>
          <w:sz w:val="18"/>
          <w:szCs w:val="18"/>
          <w:lang w:val="en-US"/>
        </w:rPr>
      </w:pPr>
      <w:r w:rsidRPr="004462D8">
        <w:rPr>
          <w:rStyle w:val="FootnoteReference"/>
          <w:rFonts w:ascii="Calibri" w:hAnsi="Calibri" w:cs="Calibri"/>
          <w:sz w:val="18"/>
          <w:szCs w:val="18"/>
        </w:rPr>
        <w:footnoteRef/>
      </w:r>
      <w:r w:rsidRPr="004462D8">
        <w:rPr>
          <w:rFonts w:ascii="Calibri" w:hAnsi="Calibri" w:cs="Calibri"/>
          <w:sz w:val="18"/>
          <w:szCs w:val="18"/>
        </w:rPr>
        <w:t xml:space="preserve"> John Gunnell, “</w:t>
      </w:r>
      <w:r w:rsidRPr="004462D8">
        <w:rPr>
          <w:rFonts w:ascii="Calibri" w:hAnsi="Calibri" w:cs="Calibri"/>
          <w:sz w:val="18"/>
          <w:szCs w:val="18"/>
          <w:lang w:val="en-US"/>
        </w:rPr>
        <w:t xml:space="preserve">Dislocated Rhetoric: The Anomaly of Political Theory,” </w:t>
      </w:r>
      <w:r w:rsidRPr="004462D8">
        <w:rPr>
          <w:rFonts w:ascii="Calibri" w:hAnsi="Calibri" w:cs="Calibri"/>
          <w:i/>
          <w:iCs/>
          <w:sz w:val="18"/>
          <w:szCs w:val="18"/>
          <w:lang w:val="en-US"/>
        </w:rPr>
        <w:t>The Journal of Politics</w:t>
      </w:r>
      <w:r w:rsidRPr="004462D8">
        <w:rPr>
          <w:rFonts w:ascii="Calibri" w:hAnsi="Calibri" w:cs="Calibri"/>
          <w:sz w:val="18"/>
          <w:szCs w:val="18"/>
          <w:lang w:val="en-US"/>
        </w:rPr>
        <w:t xml:space="preserve">, 68.4 (2006, </w:t>
      </w:r>
      <w:r w:rsidRPr="004462D8">
        <w:rPr>
          <w:rFonts w:ascii="Calibri" w:hAnsi="Calibri" w:cs="Calibri"/>
          <w:sz w:val="18"/>
          <w:szCs w:val="18"/>
        </w:rPr>
        <w:t>772.  See also, Duncan Bell, “</w:t>
      </w:r>
      <w:r w:rsidRPr="004462D8">
        <w:rPr>
          <w:rFonts w:ascii="Calibri" w:hAnsi="Calibri" w:cs="Calibri"/>
          <w:sz w:val="18"/>
          <w:szCs w:val="18"/>
          <w:lang w:val="en-US"/>
        </w:rPr>
        <w:t>What Is Liberalism?,” </w:t>
      </w:r>
      <w:r w:rsidRPr="004462D8">
        <w:rPr>
          <w:rFonts w:ascii="Calibri" w:hAnsi="Calibri" w:cs="Calibri"/>
          <w:i/>
          <w:iCs/>
          <w:sz w:val="18"/>
          <w:szCs w:val="18"/>
          <w:lang w:val="en-US"/>
        </w:rPr>
        <w:t>Political Theory</w:t>
      </w:r>
      <w:r w:rsidRPr="004462D8">
        <w:rPr>
          <w:rFonts w:ascii="Calibri" w:hAnsi="Calibri" w:cs="Calibri"/>
          <w:sz w:val="18"/>
          <w:szCs w:val="18"/>
          <w:lang w:val="en-US"/>
        </w:rPr>
        <w:t>, </w:t>
      </w:r>
      <w:r w:rsidRPr="004462D8">
        <w:rPr>
          <w:rFonts w:ascii="Calibri" w:hAnsi="Calibri" w:cs="Calibri"/>
          <w:i/>
          <w:iCs/>
          <w:sz w:val="18"/>
          <w:szCs w:val="18"/>
          <w:lang w:val="en-US"/>
        </w:rPr>
        <w:t>42</w:t>
      </w:r>
      <w:r w:rsidRPr="004462D8">
        <w:rPr>
          <w:rFonts w:ascii="Calibri" w:hAnsi="Calibri" w:cs="Calibri"/>
          <w:sz w:val="18"/>
          <w:szCs w:val="18"/>
          <w:lang w:val="en-US"/>
        </w:rPr>
        <w:t>.6 (2014), 682–715.</w:t>
      </w:r>
    </w:p>
  </w:footnote>
  <w:footnote w:id="4">
    <w:p w14:paraId="572D8F69" w14:textId="77777777" w:rsidR="00A70BD8" w:rsidRPr="004462D8" w:rsidRDefault="00A70BD8" w:rsidP="004462D8">
      <w:pPr>
        <w:jc w:val="both"/>
        <w:rPr>
          <w:rFonts w:ascii="Calibri" w:eastAsiaTheme="minorEastAsia" w:hAnsi="Calibri" w:cs="Calibri"/>
          <w:noProof/>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w:t>
      </w:r>
      <w:r w:rsidRPr="004462D8">
        <w:rPr>
          <w:rFonts w:ascii="Calibri" w:eastAsiaTheme="minorEastAsia" w:hAnsi="Calibri" w:cs="Calibri"/>
          <w:noProof/>
          <w:sz w:val="18"/>
          <w:szCs w:val="18"/>
        </w:rPr>
        <w:t>Gunnell, “Dislocated Rhetoric,” p.777.</w:t>
      </w:r>
    </w:p>
  </w:footnote>
  <w:footnote w:id="5">
    <w:p w14:paraId="09E3A576" w14:textId="77777777" w:rsidR="00A70BD8" w:rsidRPr="004462D8" w:rsidRDefault="00A70BD8" w:rsidP="004462D8">
      <w:pPr>
        <w:pStyle w:val="FootnoteText"/>
        <w:jc w:val="both"/>
        <w:rPr>
          <w:rFonts w:ascii="Calibri" w:hAnsi="Calibri" w:cs="Calibri"/>
          <w:sz w:val="18"/>
          <w:szCs w:val="18"/>
          <w:lang w:val="en-US"/>
        </w:rPr>
      </w:pPr>
      <w:r w:rsidRPr="004462D8">
        <w:rPr>
          <w:rStyle w:val="FootnoteReference"/>
          <w:rFonts w:ascii="Calibri" w:hAnsi="Calibri" w:cs="Calibri"/>
          <w:sz w:val="18"/>
          <w:szCs w:val="18"/>
        </w:rPr>
        <w:footnoteRef/>
      </w:r>
      <w:r w:rsidRPr="004462D8">
        <w:rPr>
          <w:rFonts w:ascii="Calibri" w:hAnsi="Calibri" w:cs="Calibri"/>
          <w:sz w:val="18"/>
          <w:szCs w:val="18"/>
        </w:rPr>
        <w:t xml:space="preserve"> W.E.B Dubois, </w:t>
      </w:r>
      <w:r w:rsidRPr="004462D8">
        <w:rPr>
          <w:rFonts w:ascii="Calibri" w:hAnsi="Calibri" w:cs="Calibri"/>
          <w:i/>
          <w:iCs/>
          <w:sz w:val="18"/>
          <w:szCs w:val="18"/>
        </w:rPr>
        <w:t>Souls of Black Folk</w:t>
      </w:r>
      <w:r w:rsidRPr="004462D8">
        <w:rPr>
          <w:rFonts w:ascii="Calibri" w:hAnsi="Calibri" w:cs="Calibri"/>
          <w:iCs/>
          <w:sz w:val="18"/>
          <w:szCs w:val="18"/>
        </w:rPr>
        <w:t>, (Dover Thrift Edition, New York, 1994).</w:t>
      </w:r>
    </w:p>
  </w:footnote>
  <w:footnote w:id="6">
    <w:p w14:paraId="7D4F4C12" w14:textId="77777777" w:rsidR="00A70BD8" w:rsidRPr="004462D8" w:rsidRDefault="00A70BD8" w:rsidP="004462D8">
      <w:pPr>
        <w:pStyle w:val="FootnoteText"/>
        <w:jc w:val="both"/>
        <w:rPr>
          <w:rFonts w:ascii="Calibri" w:hAnsi="Calibri" w:cs="Calibri"/>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Said, </w:t>
      </w:r>
      <w:r w:rsidRPr="004462D8">
        <w:rPr>
          <w:rFonts w:ascii="Calibri" w:hAnsi="Calibri" w:cs="Calibri"/>
          <w:i/>
          <w:sz w:val="18"/>
          <w:szCs w:val="18"/>
        </w:rPr>
        <w:t>Culture and Imperialism</w:t>
      </w:r>
      <w:r w:rsidRPr="004462D8">
        <w:rPr>
          <w:rFonts w:ascii="Calibri" w:hAnsi="Calibri" w:cs="Calibri"/>
          <w:sz w:val="18"/>
          <w:szCs w:val="18"/>
        </w:rPr>
        <w:t xml:space="preserve"> (Vintage; New York, 1993), 51. </w:t>
      </w:r>
      <w:r w:rsidRPr="004462D8">
        <w:rPr>
          <w:rFonts w:ascii="Calibri" w:hAnsi="Calibri" w:cs="Calibri"/>
          <w:iCs/>
          <w:sz w:val="18"/>
          <w:szCs w:val="18"/>
        </w:rPr>
        <w:t>Stuart Hall, “The West and the Rest: Discourse and Power,” Formations of Modernity (Polity/Open University, 2010).</w:t>
      </w:r>
    </w:p>
  </w:footnote>
  <w:footnote w:id="7">
    <w:p w14:paraId="6626552F" w14:textId="77777777" w:rsidR="00A70BD8" w:rsidRPr="004462D8" w:rsidRDefault="00A70BD8" w:rsidP="004462D8">
      <w:pPr>
        <w:pStyle w:val="FootnoteText"/>
        <w:jc w:val="both"/>
        <w:rPr>
          <w:rFonts w:ascii="Calibri" w:hAnsi="Calibri" w:cs="Calibri"/>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Said, </w:t>
      </w:r>
      <w:r w:rsidRPr="004462D8">
        <w:rPr>
          <w:rFonts w:ascii="Calibri" w:hAnsi="Calibri" w:cs="Calibri"/>
          <w:i/>
          <w:sz w:val="18"/>
          <w:szCs w:val="18"/>
        </w:rPr>
        <w:t>Culture and Imperialism</w:t>
      </w:r>
      <w:r w:rsidRPr="004462D8">
        <w:rPr>
          <w:rFonts w:ascii="Calibri" w:hAnsi="Calibri" w:cs="Calibri"/>
          <w:sz w:val="18"/>
          <w:szCs w:val="18"/>
        </w:rPr>
        <w:t>, 191.</w:t>
      </w:r>
    </w:p>
  </w:footnote>
  <w:footnote w:id="8">
    <w:p w14:paraId="679ED5A5" w14:textId="77777777" w:rsidR="00A70BD8" w:rsidRPr="004462D8" w:rsidRDefault="00A70BD8" w:rsidP="004462D8">
      <w:pPr>
        <w:pStyle w:val="FootnoteText"/>
        <w:jc w:val="both"/>
        <w:rPr>
          <w:rFonts w:ascii="Calibri" w:hAnsi="Calibri" w:cs="Calibri"/>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Salmon Rushdie coined this phrase which would become so central to postcolonial critique in a 1982 piece entitled “The Empire Writes Back with a Vengeance,” </w:t>
      </w:r>
      <w:r w:rsidRPr="004462D8">
        <w:rPr>
          <w:rFonts w:ascii="Calibri" w:hAnsi="Calibri" w:cs="Calibri"/>
          <w:i/>
          <w:sz w:val="18"/>
          <w:szCs w:val="18"/>
        </w:rPr>
        <w:t xml:space="preserve">The Times </w:t>
      </w:r>
      <w:r w:rsidRPr="004462D8">
        <w:rPr>
          <w:rFonts w:ascii="Calibri" w:hAnsi="Calibri" w:cs="Calibri"/>
          <w:sz w:val="18"/>
          <w:szCs w:val="18"/>
        </w:rPr>
        <w:t>(London) (July 3, 1982).</w:t>
      </w:r>
    </w:p>
  </w:footnote>
  <w:footnote w:id="9">
    <w:p w14:paraId="53771885" w14:textId="77777777" w:rsidR="00A70BD8" w:rsidRPr="004462D8" w:rsidRDefault="00A70BD8" w:rsidP="004462D8">
      <w:pPr>
        <w:pStyle w:val="FootnoteText"/>
        <w:jc w:val="both"/>
        <w:rPr>
          <w:rFonts w:ascii="Calibri" w:hAnsi="Calibri" w:cs="Calibri"/>
          <w:sz w:val="18"/>
          <w:szCs w:val="18"/>
        </w:rPr>
      </w:pPr>
      <w:r w:rsidRPr="004462D8">
        <w:rPr>
          <w:rStyle w:val="FootnoteReference"/>
          <w:rFonts w:ascii="Calibri" w:hAnsi="Calibri" w:cs="Calibri"/>
          <w:sz w:val="18"/>
          <w:szCs w:val="18"/>
        </w:rPr>
        <w:footnoteRef/>
      </w:r>
      <w:r w:rsidRPr="004462D8">
        <w:rPr>
          <w:rFonts w:ascii="Calibri" w:hAnsi="Calibri" w:cs="Calibri"/>
          <w:sz w:val="18"/>
          <w:szCs w:val="18"/>
        </w:rPr>
        <w:t xml:space="preserve"> Said, “Culture and Imperialism,” </w:t>
      </w:r>
      <w:r w:rsidRPr="004462D8">
        <w:rPr>
          <w:rFonts w:ascii="Calibri" w:hAnsi="Calibri" w:cs="Calibri"/>
          <w:i/>
          <w:sz w:val="18"/>
          <w:szCs w:val="18"/>
        </w:rPr>
        <w:t>Pen and the Sword</w:t>
      </w:r>
      <w:r w:rsidRPr="004462D8">
        <w:rPr>
          <w:rFonts w:ascii="Calibri" w:hAnsi="Calibri" w:cs="Calibri"/>
          <w:sz w:val="18"/>
          <w:szCs w:val="18"/>
        </w:rPr>
        <w:t>, 78.</w:t>
      </w:r>
    </w:p>
  </w:footnote>
  <w:footnote w:id="10">
    <w:p w14:paraId="1AF490A4" w14:textId="77777777" w:rsidR="00A70BD8" w:rsidRPr="004462D8" w:rsidRDefault="00A70BD8" w:rsidP="004462D8">
      <w:pPr>
        <w:pStyle w:val="FootnoteText"/>
        <w:jc w:val="both"/>
        <w:rPr>
          <w:rFonts w:ascii="Calibri" w:hAnsi="Calibri" w:cs="Calibri"/>
          <w:color w:val="000000" w:themeColor="text1"/>
          <w:sz w:val="18"/>
          <w:szCs w:val="18"/>
        </w:rPr>
      </w:pPr>
      <w:r w:rsidRPr="004462D8">
        <w:rPr>
          <w:rStyle w:val="FootnoteReference"/>
          <w:rFonts w:ascii="Calibri" w:hAnsi="Calibri" w:cs="Calibri"/>
          <w:color w:val="000000" w:themeColor="text1"/>
          <w:sz w:val="18"/>
          <w:szCs w:val="18"/>
        </w:rPr>
        <w:footnoteRef/>
      </w:r>
      <w:r w:rsidRPr="004462D8">
        <w:rPr>
          <w:rFonts w:ascii="Calibri" w:hAnsi="Calibri" w:cs="Calibri"/>
          <w:color w:val="000000" w:themeColor="text1"/>
          <w:sz w:val="18"/>
          <w:szCs w:val="18"/>
        </w:rPr>
        <w:t xml:space="preserve"> Said, </w:t>
      </w:r>
      <w:r w:rsidRPr="004462D8">
        <w:rPr>
          <w:rFonts w:ascii="Calibri" w:hAnsi="Calibri" w:cs="Calibri"/>
          <w:i/>
          <w:color w:val="000000" w:themeColor="text1"/>
          <w:sz w:val="18"/>
          <w:szCs w:val="18"/>
        </w:rPr>
        <w:t>Culture and Imperialism</w:t>
      </w:r>
      <w:r w:rsidRPr="004462D8">
        <w:rPr>
          <w:rFonts w:ascii="Calibri" w:hAnsi="Calibri" w:cs="Calibri"/>
          <w:color w:val="000000" w:themeColor="text1"/>
          <w:sz w:val="18"/>
          <w:szCs w:val="18"/>
        </w:rPr>
        <w:t>, 279.</w:t>
      </w:r>
    </w:p>
  </w:footnote>
  <w:footnote w:id="11">
    <w:p w14:paraId="335DB3C1" w14:textId="77777777" w:rsidR="00A70BD8" w:rsidRPr="004462D8" w:rsidRDefault="00A70BD8" w:rsidP="004462D8">
      <w:pPr>
        <w:pStyle w:val="FootnoteText"/>
        <w:jc w:val="both"/>
        <w:rPr>
          <w:rFonts w:ascii="Calibri" w:hAnsi="Calibri" w:cs="Calibri"/>
          <w:sz w:val="18"/>
          <w:szCs w:val="18"/>
          <w:lang w:val="en-US"/>
        </w:rPr>
      </w:pPr>
      <w:r w:rsidRPr="004462D8">
        <w:rPr>
          <w:rStyle w:val="FootnoteReference"/>
          <w:rFonts w:ascii="Calibri" w:hAnsi="Calibri" w:cs="Calibri"/>
          <w:sz w:val="18"/>
          <w:szCs w:val="18"/>
        </w:rPr>
        <w:footnoteRef/>
      </w:r>
      <w:r w:rsidRPr="004462D8">
        <w:rPr>
          <w:rFonts w:ascii="Calibri" w:hAnsi="Calibri" w:cs="Calibri"/>
          <w:sz w:val="18"/>
          <w:szCs w:val="18"/>
        </w:rPr>
        <w:t xml:space="preserve"> </w:t>
      </w:r>
      <w:r w:rsidRPr="004462D8">
        <w:rPr>
          <w:rFonts w:ascii="Calibri" w:hAnsi="Calibri" w:cs="Calibri"/>
          <w:sz w:val="18"/>
          <w:szCs w:val="18"/>
          <w:lang w:val="en-US"/>
        </w:rPr>
        <w:t xml:space="preserve">Charles Mills, </w:t>
      </w:r>
      <w:r w:rsidRPr="004462D8">
        <w:rPr>
          <w:rFonts w:ascii="Calibri" w:hAnsi="Calibri" w:cs="Calibri"/>
          <w:i/>
          <w:iCs/>
          <w:sz w:val="18"/>
          <w:szCs w:val="18"/>
          <w:lang w:val="en-US"/>
        </w:rPr>
        <w:t xml:space="preserve">Black Rights, White Wrongs: The Critique of Racial Liberalism </w:t>
      </w:r>
      <w:r w:rsidRPr="004462D8">
        <w:rPr>
          <w:rFonts w:ascii="Calibri" w:hAnsi="Calibri" w:cs="Calibri"/>
          <w:sz w:val="18"/>
          <w:szCs w:val="18"/>
          <w:lang w:val="en-US"/>
        </w:rPr>
        <w:t>(Oxford, 2017.</w:t>
      </w:r>
    </w:p>
  </w:footnote>
  <w:footnote w:id="12">
    <w:p w14:paraId="2CC5B43A" w14:textId="77777777" w:rsidR="00A70BD8" w:rsidRPr="004462D8" w:rsidRDefault="00A70BD8" w:rsidP="004462D8">
      <w:pPr>
        <w:pStyle w:val="FootnoteText"/>
        <w:jc w:val="both"/>
        <w:rPr>
          <w:rFonts w:ascii="Calibri" w:hAnsi="Calibri" w:cs="Calibri"/>
          <w:sz w:val="18"/>
          <w:szCs w:val="18"/>
          <w:lang w:val="en-US"/>
        </w:rPr>
      </w:pPr>
      <w:r w:rsidRPr="004462D8">
        <w:rPr>
          <w:rStyle w:val="FootnoteReference"/>
          <w:rFonts w:ascii="Calibri" w:hAnsi="Calibri" w:cs="Calibri"/>
          <w:sz w:val="18"/>
          <w:szCs w:val="18"/>
        </w:rPr>
        <w:footnoteRef/>
      </w:r>
      <w:r w:rsidRPr="004462D8">
        <w:rPr>
          <w:rFonts w:ascii="Calibri" w:hAnsi="Calibri" w:cs="Calibri"/>
          <w:sz w:val="18"/>
          <w:szCs w:val="18"/>
        </w:rPr>
        <w:t xml:space="preserve"> </w:t>
      </w:r>
      <w:r w:rsidRPr="004462D8">
        <w:rPr>
          <w:rFonts w:ascii="Calibri" w:hAnsi="Calibri" w:cs="Calibri"/>
          <w:sz w:val="18"/>
          <w:szCs w:val="18"/>
          <w:lang w:val="en-US"/>
        </w:rPr>
        <w:t xml:space="preserve">Edward Said, “Always on Top,” </w:t>
      </w:r>
      <w:r w:rsidRPr="004462D8">
        <w:rPr>
          <w:rFonts w:ascii="Calibri" w:hAnsi="Calibri" w:cs="Calibri"/>
          <w:i/>
          <w:iCs/>
          <w:sz w:val="18"/>
          <w:szCs w:val="18"/>
          <w:lang w:val="en-US"/>
        </w:rPr>
        <w:t>The London Review of Books</w:t>
      </w:r>
      <w:r w:rsidRPr="004462D8">
        <w:rPr>
          <w:rFonts w:ascii="Calibri" w:hAnsi="Calibri" w:cs="Calibri"/>
          <w:sz w:val="18"/>
          <w:szCs w:val="18"/>
          <w:lang w:val="en-US"/>
        </w:rPr>
        <w:t>, March 20, 2003.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48508368"/>
      <w:docPartObj>
        <w:docPartGallery w:val="Page Numbers (Top of Page)"/>
        <w:docPartUnique/>
      </w:docPartObj>
    </w:sdtPr>
    <w:sdtEndPr>
      <w:rPr>
        <w:rStyle w:val="PageNumber"/>
      </w:rPr>
    </w:sdtEndPr>
    <w:sdtContent>
      <w:p w14:paraId="08753584" w14:textId="0258D6D9" w:rsidR="00A70BD8" w:rsidRDefault="00A70BD8" w:rsidP="008963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D82536" w14:textId="77777777" w:rsidR="00A70BD8" w:rsidRDefault="00A70BD8" w:rsidP="0048007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8C0E7" w14:textId="6986C8DC" w:rsidR="00A70BD8" w:rsidRDefault="00A70BD8" w:rsidP="008963F3">
    <w:pPr>
      <w:pStyle w:val="Header"/>
      <w:framePr w:wrap="none" w:vAnchor="text" w:hAnchor="margin" w:xAlign="right" w:y="1"/>
      <w:rPr>
        <w:rStyle w:val="PageNumber"/>
      </w:rPr>
    </w:pPr>
  </w:p>
  <w:p w14:paraId="2EB399BC" w14:textId="0A89DEBF" w:rsidR="00A70BD8" w:rsidRPr="00334391" w:rsidRDefault="00A70BD8" w:rsidP="00334391">
    <w:pPr>
      <w:pStyle w:val="Header"/>
      <w:ind w:left="4680" w:right="360" w:hanging="4680"/>
      <w:rPr>
        <w:rFonts w:ascii="Palatino Linotype" w:hAnsi="Palatino Linotype" w:cs="Arial (Body CS)"/>
        <w:b/>
        <w:bCs/>
        <w:color w:val="588392"/>
        <w:spacing w:val="10"/>
      </w:rPr>
    </w:pPr>
    <w:r w:rsidRPr="00334391">
      <w:rPr>
        <w:rFonts w:ascii="Palatino Linotype" w:hAnsi="Palatino Linotype" w:cs="Arial (Body CS)"/>
        <w:b/>
        <w:bCs/>
        <w:noProof/>
        <w:color w:val="588392"/>
        <w:spacing w:val="10"/>
        <w:lang w:eastAsia="en-GB"/>
      </w:rPr>
      <w:drawing>
        <wp:anchor distT="0" distB="0" distL="114300" distR="114300" simplePos="0" relativeHeight="251658240" behindDoc="0" locked="0" layoutInCell="1" allowOverlap="1" wp14:anchorId="54362615" wp14:editId="3AD8FC0C">
          <wp:simplePos x="0" y="0"/>
          <wp:positionH relativeFrom="column">
            <wp:posOffset>5227320</wp:posOffset>
          </wp:positionH>
          <wp:positionV relativeFrom="paragraph">
            <wp:posOffset>-462168</wp:posOffset>
          </wp:positionV>
          <wp:extent cx="1834688" cy="1789387"/>
          <wp:effectExtent l="0" t="0" r="0" b="1905"/>
          <wp:wrapNone/>
          <wp:docPr id="6" name="Picture 6" descr="A screen sho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 shot of a build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34688" cy="1789387"/>
                  </a:xfrm>
                  <a:prstGeom prst="rect">
                    <a:avLst/>
                  </a:prstGeom>
                </pic:spPr>
              </pic:pic>
            </a:graphicData>
          </a:graphic>
          <wp14:sizeRelH relativeFrom="page">
            <wp14:pctWidth>0</wp14:pctWidth>
          </wp14:sizeRelH>
          <wp14:sizeRelV relativeFrom="page">
            <wp14:pctHeight>0</wp14:pctHeight>
          </wp14:sizeRelV>
        </wp:anchor>
      </w:drawing>
    </w:r>
  </w:p>
  <w:p w14:paraId="77FDF498" w14:textId="758EC600" w:rsidR="00A70BD8" w:rsidRDefault="00A70BD8" w:rsidP="00480075">
    <w:pPr>
      <w:pStyle w:val="Header"/>
      <w:ind w:right="360"/>
    </w:pPr>
  </w:p>
  <w:p w14:paraId="014ED628" w14:textId="77777777" w:rsidR="00A70BD8" w:rsidRDefault="00A70BD8" w:rsidP="00480075">
    <w:pPr>
      <w:pStyle w:val="Header"/>
      <w:ind w:right="360"/>
    </w:pPr>
  </w:p>
  <w:p w14:paraId="373FD5A4" w14:textId="77777777" w:rsidR="00A70BD8" w:rsidRDefault="00A70BD8" w:rsidP="00480075">
    <w:pPr>
      <w:pStyle w:val="Header"/>
      <w:ind w:right="360"/>
    </w:pPr>
  </w:p>
  <w:p w14:paraId="7353C441" w14:textId="1100E412" w:rsidR="00A70BD8" w:rsidRDefault="00A70BD8" w:rsidP="00480075">
    <w:pPr>
      <w:pStyle w:val="Header"/>
      <w:ind w:right="360"/>
    </w:pPr>
  </w:p>
  <w:p w14:paraId="6A3A35F7" w14:textId="77777777" w:rsidR="00A70BD8" w:rsidRDefault="00A70BD8" w:rsidP="00480075">
    <w:pPr>
      <w:pStyle w:val="Header"/>
      <w:ind w:right="360"/>
    </w:pPr>
  </w:p>
  <w:p w14:paraId="7258CFCB" w14:textId="3D0F24A3" w:rsidR="00A70BD8" w:rsidRDefault="00A70BD8" w:rsidP="0048007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86690"/>
    <w:multiLevelType w:val="hybridMultilevel"/>
    <w:tmpl w:val="D6C4A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9B3FD9"/>
    <w:multiLevelType w:val="hybridMultilevel"/>
    <w:tmpl w:val="76B690B4"/>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AE13BD"/>
    <w:multiLevelType w:val="hybridMultilevel"/>
    <w:tmpl w:val="F8903DBA"/>
    <w:lvl w:ilvl="0" w:tplc="D2709B86">
      <w:start w:val="1"/>
      <w:numFmt w:val="bullet"/>
      <w:lvlText w:val="-"/>
      <w:lvlJc w:val="left"/>
      <w:pPr>
        <w:ind w:left="720" w:hanging="360"/>
      </w:pPr>
      <w:rPr>
        <w:rFonts w:ascii="Calibri" w:eastAsiaTheme="minorHAnsi" w:hAnsi="Calibri" w:cs="Calibri"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F12BCC"/>
    <w:multiLevelType w:val="hybridMultilevel"/>
    <w:tmpl w:val="E15ACE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8BA6B39"/>
    <w:multiLevelType w:val="hybridMultilevel"/>
    <w:tmpl w:val="5254E9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A103657"/>
    <w:multiLevelType w:val="hybridMultilevel"/>
    <w:tmpl w:val="D9C01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217D3C"/>
    <w:multiLevelType w:val="hybridMultilevel"/>
    <w:tmpl w:val="6DC4536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181F1922"/>
    <w:multiLevelType w:val="hybridMultilevel"/>
    <w:tmpl w:val="E4DA1CA2"/>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FA31C6"/>
    <w:multiLevelType w:val="hybridMultilevel"/>
    <w:tmpl w:val="ADE6FE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636929"/>
    <w:multiLevelType w:val="hybridMultilevel"/>
    <w:tmpl w:val="54FCB6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4B3CF4"/>
    <w:multiLevelType w:val="hybridMultilevel"/>
    <w:tmpl w:val="ADE6FE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C14D36"/>
    <w:multiLevelType w:val="hybridMultilevel"/>
    <w:tmpl w:val="8B9E8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DF584E"/>
    <w:multiLevelType w:val="hybridMultilevel"/>
    <w:tmpl w:val="F10AC8DA"/>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070FE"/>
    <w:multiLevelType w:val="hybridMultilevel"/>
    <w:tmpl w:val="1C487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8E633E5"/>
    <w:multiLevelType w:val="hybridMultilevel"/>
    <w:tmpl w:val="31D2C438"/>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7" w15:restartNumberingAfterBreak="0">
    <w:nsid w:val="28EF00C8"/>
    <w:multiLevelType w:val="hybridMultilevel"/>
    <w:tmpl w:val="6B18FC96"/>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4F64EB"/>
    <w:multiLevelType w:val="hybridMultilevel"/>
    <w:tmpl w:val="62FE115A"/>
    <w:lvl w:ilvl="0" w:tplc="08090015">
      <w:start w:val="1"/>
      <w:numFmt w:val="upperLetter"/>
      <w:lvlText w:val="%1."/>
      <w:lvlJc w:val="left"/>
      <w:pPr>
        <w:ind w:left="720" w:hanging="360"/>
      </w:pPr>
      <w:rPr>
        <w:rFonts w:hint="default"/>
      </w:r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9711250"/>
    <w:multiLevelType w:val="hybridMultilevel"/>
    <w:tmpl w:val="69D0E820"/>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E17620"/>
    <w:multiLevelType w:val="hybridMultilevel"/>
    <w:tmpl w:val="EAA0BA8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1" w15:restartNumberingAfterBreak="0">
    <w:nsid w:val="2EDC6CAB"/>
    <w:multiLevelType w:val="hybridMultilevel"/>
    <w:tmpl w:val="FA24E1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C11773"/>
    <w:multiLevelType w:val="hybridMultilevel"/>
    <w:tmpl w:val="63B819B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0B3954"/>
    <w:multiLevelType w:val="hybridMultilevel"/>
    <w:tmpl w:val="F8BA8EAC"/>
    <w:lvl w:ilvl="0" w:tplc="D2709B86">
      <w:start w:val="1"/>
      <w:numFmt w:val="bullet"/>
      <w:lvlText w:val="-"/>
      <w:lvlJc w:val="left"/>
      <w:pPr>
        <w:ind w:left="3600" w:hanging="360"/>
      </w:pPr>
      <w:rPr>
        <w:rFonts w:ascii="Calibri" w:eastAsiaTheme="minorHAnsi" w:hAnsi="Calibri" w:cs="Calibri" w:hint="default"/>
        <w:sz w:val="23"/>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4" w15:restartNumberingAfterBreak="0">
    <w:nsid w:val="357E5A26"/>
    <w:multiLevelType w:val="hybridMultilevel"/>
    <w:tmpl w:val="7EDE7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0B2DD2"/>
    <w:multiLevelType w:val="hybridMultilevel"/>
    <w:tmpl w:val="8D5C790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8B102E"/>
    <w:multiLevelType w:val="hybridMultilevel"/>
    <w:tmpl w:val="666EF822"/>
    <w:lvl w:ilvl="0" w:tplc="02D85062">
      <w:start w:val="1"/>
      <w:numFmt w:val="bullet"/>
      <w:lvlText w:val=""/>
      <w:lvlJc w:val="left"/>
      <w:pPr>
        <w:ind w:left="360" w:hanging="360"/>
      </w:pPr>
      <w:rPr>
        <w:rFonts w:ascii="Symbol" w:hAnsi="Symbol" w:hint="default"/>
        <w:color w:val="auto"/>
        <w:sz w:val="2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2B54D30"/>
    <w:multiLevelType w:val="hybridMultilevel"/>
    <w:tmpl w:val="BFCA5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0147A9"/>
    <w:multiLevelType w:val="hybridMultilevel"/>
    <w:tmpl w:val="6EA08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5C27BE"/>
    <w:multiLevelType w:val="hybridMultilevel"/>
    <w:tmpl w:val="ADE6FE8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B6E7F80"/>
    <w:multiLevelType w:val="hybridMultilevel"/>
    <w:tmpl w:val="210C28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501F7181"/>
    <w:multiLevelType w:val="hybridMultilevel"/>
    <w:tmpl w:val="9E8015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5114397D"/>
    <w:multiLevelType w:val="hybridMultilevel"/>
    <w:tmpl w:val="5AA4C126"/>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87699B"/>
    <w:multiLevelType w:val="hybridMultilevel"/>
    <w:tmpl w:val="9C3652A0"/>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64E26AE"/>
    <w:multiLevelType w:val="hybridMultilevel"/>
    <w:tmpl w:val="5BF8C6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19F6CC7"/>
    <w:multiLevelType w:val="hybridMultilevel"/>
    <w:tmpl w:val="12B85970"/>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1A1518"/>
    <w:multiLevelType w:val="hybridMultilevel"/>
    <w:tmpl w:val="9AD0B3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8066BE8"/>
    <w:multiLevelType w:val="hybridMultilevel"/>
    <w:tmpl w:val="F76E01F2"/>
    <w:lvl w:ilvl="0" w:tplc="196EE23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89698C"/>
    <w:multiLevelType w:val="hybridMultilevel"/>
    <w:tmpl w:val="BF5A63D4"/>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9" w15:restartNumberingAfterBreak="0">
    <w:nsid w:val="6DE075FA"/>
    <w:multiLevelType w:val="hybridMultilevel"/>
    <w:tmpl w:val="99B66B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754E2E"/>
    <w:multiLevelType w:val="hybridMultilevel"/>
    <w:tmpl w:val="235CF7EE"/>
    <w:lvl w:ilvl="0" w:tplc="02D85062">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5040" w:hanging="360"/>
      </w:pPr>
      <w:rPr>
        <w:rFonts w:ascii="Courier New" w:hAnsi="Courier New" w:cs="Courier New" w:hint="default"/>
      </w:rPr>
    </w:lvl>
    <w:lvl w:ilvl="2" w:tplc="08090005" w:tentative="1">
      <w:start w:val="1"/>
      <w:numFmt w:val="bullet"/>
      <w:lvlText w:val=""/>
      <w:lvlJc w:val="left"/>
      <w:pPr>
        <w:ind w:left="5760" w:hanging="360"/>
      </w:pPr>
      <w:rPr>
        <w:rFonts w:ascii="Wingdings" w:hAnsi="Wingdings" w:hint="default"/>
      </w:rPr>
    </w:lvl>
    <w:lvl w:ilvl="3" w:tplc="08090001" w:tentative="1">
      <w:start w:val="1"/>
      <w:numFmt w:val="bullet"/>
      <w:lvlText w:val=""/>
      <w:lvlJc w:val="left"/>
      <w:pPr>
        <w:ind w:left="6480" w:hanging="360"/>
      </w:pPr>
      <w:rPr>
        <w:rFonts w:ascii="Symbol" w:hAnsi="Symbol" w:hint="default"/>
      </w:rPr>
    </w:lvl>
    <w:lvl w:ilvl="4" w:tplc="08090003" w:tentative="1">
      <w:start w:val="1"/>
      <w:numFmt w:val="bullet"/>
      <w:lvlText w:val="o"/>
      <w:lvlJc w:val="left"/>
      <w:pPr>
        <w:ind w:left="7200" w:hanging="360"/>
      </w:pPr>
      <w:rPr>
        <w:rFonts w:ascii="Courier New" w:hAnsi="Courier New" w:cs="Courier New" w:hint="default"/>
      </w:rPr>
    </w:lvl>
    <w:lvl w:ilvl="5" w:tplc="08090005" w:tentative="1">
      <w:start w:val="1"/>
      <w:numFmt w:val="bullet"/>
      <w:lvlText w:val=""/>
      <w:lvlJc w:val="left"/>
      <w:pPr>
        <w:ind w:left="7920" w:hanging="360"/>
      </w:pPr>
      <w:rPr>
        <w:rFonts w:ascii="Wingdings" w:hAnsi="Wingdings" w:hint="default"/>
      </w:rPr>
    </w:lvl>
    <w:lvl w:ilvl="6" w:tplc="08090001" w:tentative="1">
      <w:start w:val="1"/>
      <w:numFmt w:val="bullet"/>
      <w:lvlText w:val=""/>
      <w:lvlJc w:val="left"/>
      <w:pPr>
        <w:ind w:left="8640" w:hanging="360"/>
      </w:pPr>
      <w:rPr>
        <w:rFonts w:ascii="Symbol" w:hAnsi="Symbol" w:hint="default"/>
      </w:rPr>
    </w:lvl>
    <w:lvl w:ilvl="7" w:tplc="08090003" w:tentative="1">
      <w:start w:val="1"/>
      <w:numFmt w:val="bullet"/>
      <w:lvlText w:val="o"/>
      <w:lvlJc w:val="left"/>
      <w:pPr>
        <w:ind w:left="9360" w:hanging="360"/>
      </w:pPr>
      <w:rPr>
        <w:rFonts w:ascii="Courier New" w:hAnsi="Courier New" w:cs="Courier New" w:hint="default"/>
      </w:rPr>
    </w:lvl>
    <w:lvl w:ilvl="8" w:tplc="08090005" w:tentative="1">
      <w:start w:val="1"/>
      <w:numFmt w:val="bullet"/>
      <w:lvlText w:val=""/>
      <w:lvlJc w:val="left"/>
      <w:pPr>
        <w:ind w:left="10080" w:hanging="360"/>
      </w:pPr>
      <w:rPr>
        <w:rFonts w:ascii="Wingdings" w:hAnsi="Wingdings" w:hint="default"/>
      </w:rPr>
    </w:lvl>
  </w:abstractNum>
  <w:abstractNum w:abstractNumId="41" w15:restartNumberingAfterBreak="0">
    <w:nsid w:val="73141BC7"/>
    <w:multiLevelType w:val="hybridMultilevel"/>
    <w:tmpl w:val="AA5E4472"/>
    <w:lvl w:ilvl="0" w:tplc="67DA9B6A">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91441B4"/>
    <w:multiLevelType w:val="hybridMultilevel"/>
    <w:tmpl w:val="0FCA3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EC15B9"/>
    <w:multiLevelType w:val="hybridMultilevel"/>
    <w:tmpl w:val="08E22B78"/>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4" w15:restartNumberingAfterBreak="0">
    <w:nsid w:val="7E84531C"/>
    <w:multiLevelType w:val="hybridMultilevel"/>
    <w:tmpl w:val="31620B6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5"/>
  </w:num>
  <w:num w:numId="4">
    <w:abstractNumId w:val="13"/>
  </w:num>
  <w:num w:numId="5">
    <w:abstractNumId w:val="11"/>
  </w:num>
  <w:num w:numId="6">
    <w:abstractNumId w:val="43"/>
  </w:num>
  <w:num w:numId="7">
    <w:abstractNumId w:val="22"/>
  </w:num>
  <w:num w:numId="8">
    <w:abstractNumId w:val="33"/>
  </w:num>
  <w:num w:numId="9">
    <w:abstractNumId w:val="41"/>
  </w:num>
  <w:num w:numId="10">
    <w:abstractNumId w:val="19"/>
  </w:num>
  <w:num w:numId="11">
    <w:abstractNumId w:val="17"/>
  </w:num>
  <w:num w:numId="12">
    <w:abstractNumId w:val="3"/>
  </w:num>
  <w:num w:numId="13">
    <w:abstractNumId w:val="37"/>
  </w:num>
  <w:num w:numId="14">
    <w:abstractNumId w:val="14"/>
  </w:num>
  <w:num w:numId="15">
    <w:abstractNumId w:val="9"/>
  </w:num>
  <w:num w:numId="16">
    <w:abstractNumId w:val="32"/>
  </w:num>
  <w:num w:numId="17">
    <w:abstractNumId w:val="6"/>
  </w:num>
  <w:num w:numId="18">
    <w:abstractNumId w:val="39"/>
  </w:num>
  <w:num w:numId="19">
    <w:abstractNumId w:val="24"/>
  </w:num>
  <w:num w:numId="20">
    <w:abstractNumId w:val="7"/>
  </w:num>
  <w:num w:numId="21">
    <w:abstractNumId w:val="27"/>
  </w:num>
  <w:num w:numId="22">
    <w:abstractNumId w:val="18"/>
  </w:num>
  <w:num w:numId="23">
    <w:abstractNumId w:val="10"/>
  </w:num>
  <w:num w:numId="24">
    <w:abstractNumId w:val="28"/>
  </w:num>
  <w:num w:numId="25">
    <w:abstractNumId w:val="4"/>
  </w:num>
  <w:num w:numId="26">
    <w:abstractNumId w:val="23"/>
  </w:num>
  <w:num w:numId="27">
    <w:abstractNumId w:val="26"/>
  </w:num>
  <w:num w:numId="28">
    <w:abstractNumId w:val="40"/>
  </w:num>
  <w:num w:numId="29">
    <w:abstractNumId w:val="2"/>
  </w:num>
  <w:num w:numId="30">
    <w:abstractNumId w:val="12"/>
  </w:num>
  <w:num w:numId="31">
    <w:abstractNumId w:val="29"/>
  </w:num>
  <w:num w:numId="32">
    <w:abstractNumId w:val="44"/>
  </w:num>
  <w:num w:numId="33">
    <w:abstractNumId w:val="21"/>
  </w:num>
  <w:num w:numId="34">
    <w:abstractNumId w:val="42"/>
  </w:num>
  <w:num w:numId="35">
    <w:abstractNumId w:val="31"/>
  </w:num>
  <w:num w:numId="36">
    <w:abstractNumId w:val="30"/>
  </w:num>
  <w:num w:numId="37">
    <w:abstractNumId w:val="36"/>
  </w:num>
  <w:num w:numId="38">
    <w:abstractNumId w:val="5"/>
  </w:num>
  <w:num w:numId="39">
    <w:abstractNumId w:val="15"/>
  </w:num>
  <w:num w:numId="40">
    <w:abstractNumId w:val="34"/>
  </w:num>
  <w:num w:numId="41">
    <w:abstractNumId w:val="20"/>
  </w:num>
  <w:num w:numId="42">
    <w:abstractNumId w:val="38"/>
  </w:num>
  <w:num w:numId="43">
    <w:abstractNumId w:val="8"/>
  </w:num>
  <w:num w:numId="44">
    <w:abstractNumId w:val="16"/>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F67"/>
    <w:rsid w:val="00000EFB"/>
    <w:rsid w:val="00020015"/>
    <w:rsid w:val="00023BF7"/>
    <w:rsid w:val="0003149D"/>
    <w:rsid w:val="00033D25"/>
    <w:rsid w:val="00053C63"/>
    <w:rsid w:val="00083EFE"/>
    <w:rsid w:val="00091B7A"/>
    <w:rsid w:val="000A25C1"/>
    <w:rsid w:val="000C1D16"/>
    <w:rsid w:val="000E04D6"/>
    <w:rsid w:val="001079CE"/>
    <w:rsid w:val="0015168C"/>
    <w:rsid w:val="0016457F"/>
    <w:rsid w:val="001C6099"/>
    <w:rsid w:val="001F5751"/>
    <w:rsid w:val="00204408"/>
    <w:rsid w:val="00210E67"/>
    <w:rsid w:val="0021507E"/>
    <w:rsid w:val="002309E6"/>
    <w:rsid w:val="00246523"/>
    <w:rsid w:val="002855ED"/>
    <w:rsid w:val="00297D7A"/>
    <w:rsid w:val="002C22C5"/>
    <w:rsid w:val="002C600D"/>
    <w:rsid w:val="002D1AEE"/>
    <w:rsid w:val="002F281E"/>
    <w:rsid w:val="00334391"/>
    <w:rsid w:val="00344439"/>
    <w:rsid w:val="00347958"/>
    <w:rsid w:val="00365BBA"/>
    <w:rsid w:val="003A223E"/>
    <w:rsid w:val="003C6B4B"/>
    <w:rsid w:val="003E25AB"/>
    <w:rsid w:val="003F4EE3"/>
    <w:rsid w:val="0042214C"/>
    <w:rsid w:val="00431BE1"/>
    <w:rsid w:val="004462D8"/>
    <w:rsid w:val="004737A0"/>
    <w:rsid w:val="00477AF0"/>
    <w:rsid w:val="00480075"/>
    <w:rsid w:val="004B01F5"/>
    <w:rsid w:val="004B2B16"/>
    <w:rsid w:val="004C33EC"/>
    <w:rsid w:val="004C56FB"/>
    <w:rsid w:val="00500B36"/>
    <w:rsid w:val="005056D1"/>
    <w:rsid w:val="00512453"/>
    <w:rsid w:val="005318B9"/>
    <w:rsid w:val="00533705"/>
    <w:rsid w:val="00536A83"/>
    <w:rsid w:val="00546A83"/>
    <w:rsid w:val="00556C19"/>
    <w:rsid w:val="005A6A5F"/>
    <w:rsid w:val="005B1179"/>
    <w:rsid w:val="005D552D"/>
    <w:rsid w:val="006077DD"/>
    <w:rsid w:val="006500AE"/>
    <w:rsid w:val="006513DF"/>
    <w:rsid w:val="006553D6"/>
    <w:rsid w:val="006C242C"/>
    <w:rsid w:val="006F31A0"/>
    <w:rsid w:val="007068C6"/>
    <w:rsid w:val="00725235"/>
    <w:rsid w:val="00740204"/>
    <w:rsid w:val="00745A26"/>
    <w:rsid w:val="0074651A"/>
    <w:rsid w:val="00747578"/>
    <w:rsid w:val="00782D43"/>
    <w:rsid w:val="007B3BE3"/>
    <w:rsid w:val="007D0672"/>
    <w:rsid w:val="00801D12"/>
    <w:rsid w:val="00835913"/>
    <w:rsid w:val="008478C8"/>
    <w:rsid w:val="00864090"/>
    <w:rsid w:val="00864F67"/>
    <w:rsid w:val="00887A04"/>
    <w:rsid w:val="008963F3"/>
    <w:rsid w:val="008E1657"/>
    <w:rsid w:val="00933EA1"/>
    <w:rsid w:val="009409FD"/>
    <w:rsid w:val="009474A1"/>
    <w:rsid w:val="00991CDA"/>
    <w:rsid w:val="009A06E4"/>
    <w:rsid w:val="009A4BDE"/>
    <w:rsid w:val="009C6FFC"/>
    <w:rsid w:val="009D519D"/>
    <w:rsid w:val="009F2C7D"/>
    <w:rsid w:val="00A10F75"/>
    <w:rsid w:val="00A43D68"/>
    <w:rsid w:val="00A70BD8"/>
    <w:rsid w:val="00A8144E"/>
    <w:rsid w:val="00A8705A"/>
    <w:rsid w:val="00A965B4"/>
    <w:rsid w:val="00AA1A7A"/>
    <w:rsid w:val="00AB46B0"/>
    <w:rsid w:val="00AB4F59"/>
    <w:rsid w:val="00AB5350"/>
    <w:rsid w:val="00AC4834"/>
    <w:rsid w:val="00AE3591"/>
    <w:rsid w:val="00AE497A"/>
    <w:rsid w:val="00B01D1D"/>
    <w:rsid w:val="00B06C54"/>
    <w:rsid w:val="00B1316F"/>
    <w:rsid w:val="00B45CC4"/>
    <w:rsid w:val="00B857A7"/>
    <w:rsid w:val="00BB6AA1"/>
    <w:rsid w:val="00BD3500"/>
    <w:rsid w:val="00BF5B4F"/>
    <w:rsid w:val="00C52C22"/>
    <w:rsid w:val="00C6538A"/>
    <w:rsid w:val="00C806D9"/>
    <w:rsid w:val="00C955E3"/>
    <w:rsid w:val="00CB7B7B"/>
    <w:rsid w:val="00D20DB1"/>
    <w:rsid w:val="00D214F9"/>
    <w:rsid w:val="00D230DF"/>
    <w:rsid w:val="00D4167B"/>
    <w:rsid w:val="00D75682"/>
    <w:rsid w:val="00D82FDD"/>
    <w:rsid w:val="00DA2C0F"/>
    <w:rsid w:val="00DA7FC2"/>
    <w:rsid w:val="00DB16C5"/>
    <w:rsid w:val="00DD6F81"/>
    <w:rsid w:val="00DF11B8"/>
    <w:rsid w:val="00DF74DD"/>
    <w:rsid w:val="00E03642"/>
    <w:rsid w:val="00E066D1"/>
    <w:rsid w:val="00E52BBA"/>
    <w:rsid w:val="00E53F09"/>
    <w:rsid w:val="00E76BCA"/>
    <w:rsid w:val="00E84226"/>
    <w:rsid w:val="00E85D72"/>
    <w:rsid w:val="00E9567E"/>
    <w:rsid w:val="00EB7929"/>
    <w:rsid w:val="00ED3C16"/>
    <w:rsid w:val="00EE6543"/>
    <w:rsid w:val="00EE7717"/>
    <w:rsid w:val="00F06756"/>
    <w:rsid w:val="00F451B5"/>
    <w:rsid w:val="00F47A81"/>
    <w:rsid w:val="00F57CE2"/>
    <w:rsid w:val="00F67562"/>
    <w:rsid w:val="00F703CC"/>
    <w:rsid w:val="00FA1572"/>
    <w:rsid w:val="00FA471F"/>
    <w:rsid w:val="00FB419E"/>
    <w:rsid w:val="00FC6557"/>
    <w:rsid w:val="00FD317C"/>
    <w:rsid w:val="00FE16CC"/>
    <w:rsid w:val="00FE539C"/>
    <w:rsid w:val="00FF0C5B"/>
    <w:rsid w:val="00FF716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C3BC2F"/>
  <w15:chartTrackingRefBased/>
  <w15:docId w15:val="{7141409A-3CE9-E54C-AFA3-2DA345528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8144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033D2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64F67"/>
    <w:pPr>
      <w:ind w:left="720"/>
      <w:contextualSpacing/>
    </w:pPr>
  </w:style>
  <w:style w:type="character" w:customStyle="1" w:styleId="Heading1Char">
    <w:name w:val="Heading 1 Char"/>
    <w:basedOn w:val="DefaultParagraphFont"/>
    <w:link w:val="Heading1"/>
    <w:uiPriority w:val="9"/>
    <w:rsid w:val="00A8144E"/>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unhideWhenUsed/>
    <w:rsid w:val="00745A26"/>
    <w:rPr>
      <w:color w:val="588392"/>
      <w:u w:val="single"/>
    </w:rPr>
  </w:style>
  <w:style w:type="character" w:customStyle="1" w:styleId="ListParagraphChar">
    <w:name w:val="List Paragraph Char"/>
    <w:basedOn w:val="DefaultParagraphFont"/>
    <w:link w:val="ListParagraph"/>
    <w:uiPriority w:val="34"/>
    <w:locked/>
    <w:rsid w:val="00A8144E"/>
  </w:style>
  <w:style w:type="character" w:styleId="Strong">
    <w:name w:val="Strong"/>
    <w:basedOn w:val="DefaultParagraphFont"/>
    <w:uiPriority w:val="22"/>
    <w:qFormat/>
    <w:rsid w:val="00A8144E"/>
    <w:rPr>
      <w:b/>
      <w:bCs/>
    </w:rPr>
  </w:style>
  <w:style w:type="paragraph" w:styleId="FootnoteText">
    <w:name w:val="footnote text"/>
    <w:basedOn w:val="Normal"/>
    <w:link w:val="FootnoteTextChar"/>
    <w:uiPriority w:val="99"/>
    <w:unhideWhenUsed/>
    <w:rsid w:val="00A8144E"/>
    <w:rPr>
      <w:rFonts w:ascii="Garamond" w:hAnsi="Garamond" w:cs="Times New Roman (Body CS)"/>
      <w:sz w:val="20"/>
      <w:szCs w:val="20"/>
    </w:rPr>
  </w:style>
  <w:style w:type="character" w:customStyle="1" w:styleId="FootnoteTextChar">
    <w:name w:val="Footnote Text Char"/>
    <w:basedOn w:val="DefaultParagraphFont"/>
    <w:link w:val="FootnoteText"/>
    <w:uiPriority w:val="99"/>
    <w:rsid w:val="00A8144E"/>
    <w:rPr>
      <w:rFonts w:ascii="Garamond" w:hAnsi="Garamond" w:cs="Times New Roman (Body CS)"/>
      <w:sz w:val="20"/>
      <w:szCs w:val="20"/>
    </w:rPr>
  </w:style>
  <w:style w:type="character" w:styleId="FootnoteReference">
    <w:name w:val="footnote reference"/>
    <w:basedOn w:val="DefaultParagraphFont"/>
    <w:uiPriority w:val="99"/>
    <w:unhideWhenUsed/>
    <w:rsid w:val="00A8144E"/>
    <w:rPr>
      <w:vertAlign w:val="superscript"/>
    </w:rPr>
  </w:style>
  <w:style w:type="paragraph" w:styleId="NormalWeb">
    <w:name w:val="Normal (Web)"/>
    <w:basedOn w:val="Normal"/>
    <w:uiPriority w:val="99"/>
    <w:unhideWhenUsed/>
    <w:rsid w:val="00033D25"/>
    <w:pPr>
      <w:spacing w:before="100" w:beforeAutospacing="1" w:after="100" w:afterAutospacing="1"/>
    </w:pPr>
    <w:rPr>
      <w:rFonts w:ascii="Times New Roman" w:eastAsia="Times New Roman" w:hAnsi="Times New Roman" w:cs="Times New Roman"/>
      <w:lang w:val="en-US"/>
    </w:rPr>
  </w:style>
  <w:style w:type="character" w:customStyle="1" w:styleId="Heading2Char">
    <w:name w:val="Heading 2 Char"/>
    <w:basedOn w:val="DefaultParagraphFont"/>
    <w:link w:val="Heading2"/>
    <w:uiPriority w:val="9"/>
    <w:rsid w:val="00033D25"/>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FA471F"/>
    <w:pPr>
      <w:tabs>
        <w:tab w:val="center" w:pos="4680"/>
        <w:tab w:val="right" w:pos="9360"/>
      </w:tabs>
    </w:pPr>
  </w:style>
  <w:style w:type="character" w:customStyle="1" w:styleId="HeaderChar">
    <w:name w:val="Header Char"/>
    <w:basedOn w:val="DefaultParagraphFont"/>
    <w:link w:val="Header"/>
    <w:uiPriority w:val="99"/>
    <w:rsid w:val="00FA471F"/>
  </w:style>
  <w:style w:type="paragraph" w:styleId="Footer">
    <w:name w:val="footer"/>
    <w:basedOn w:val="Normal"/>
    <w:link w:val="FooterChar"/>
    <w:uiPriority w:val="99"/>
    <w:unhideWhenUsed/>
    <w:rsid w:val="00FA471F"/>
    <w:pPr>
      <w:tabs>
        <w:tab w:val="center" w:pos="4680"/>
        <w:tab w:val="right" w:pos="9360"/>
      </w:tabs>
    </w:pPr>
  </w:style>
  <w:style w:type="character" w:customStyle="1" w:styleId="FooterChar">
    <w:name w:val="Footer Char"/>
    <w:basedOn w:val="DefaultParagraphFont"/>
    <w:link w:val="Footer"/>
    <w:uiPriority w:val="99"/>
    <w:rsid w:val="00FA471F"/>
  </w:style>
  <w:style w:type="character" w:styleId="PageNumber">
    <w:name w:val="page number"/>
    <w:basedOn w:val="DefaultParagraphFont"/>
    <w:uiPriority w:val="99"/>
    <w:semiHidden/>
    <w:unhideWhenUsed/>
    <w:rsid w:val="00480075"/>
  </w:style>
  <w:style w:type="paragraph" w:styleId="TOC1">
    <w:name w:val="toc 1"/>
    <w:basedOn w:val="Normal"/>
    <w:next w:val="Normal"/>
    <w:autoRedefine/>
    <w:uiPriority w:val="39"/>
    <w:unhideWhenUsed/>
    <w:rsid w:val="00FC6557"/>
    <w:pPr>
      <w:spacing w:before="120"/>
    </w:pPr>
    <w:rPr>
      <w:rFonts w:cstheme="minorHAnsi"/>
      <w:b/>
      <w:bCs/>
      <w:i/>
      <w:iCs/>
    </w:rPr>
  </w:style>
  <w:style w:type="paragraph" w:styleId="TOC2">
    <w:name w:val="toc 2"/>
    <w:basedOn w:val="Normal"/>
    <w:next w:val="Normal"/>
    <w:autoRedefine/>
    <w:uiPriority w:val="39"/>
    <w:unhideWhenUsed/>
    <w:rsid w:val="00536A83"/>
    <w:pPr>
      <w:tabs>
        <w:tab w:val="right" w:leader="underscore" w:pos="9356"/>
      </w:tabs>
      <w:spacing w:before="120"/>
      <w:ind w:left="567"/>
    </w:pPr>
    <w:rPr>
      <w:rFonts w:cstheme="minorHAnsi"/>
      <w:b/>
      <w:bCs/>
      <w:sz w:val="22"/>
      <w:szCs w:val="22"/>
    </w:rPr>
  </w:style>
  <w:style w:type="paragraph" w:styleId="TOC3">
    <w:name w:val="toc 3"/>
    <w:basedOn w:val="Normal"/>
    <w:next w:val="Normal"/>
    <w:autoRedefine/>
    <w:uiPriority w:val="39"/>
    <w:unhideWhenUsed/>
    <w:rsid w:val="00FC6557"/>
    <w:pPr>
      <w:ind w:left="480"/>
    </w:pPr>
    <w:rPr>
      <w:rFonts w:cstheme="minorHAnsi"/>
      <w:sz w:val="20"/>
      <w:szCs w:val="20"/>
    </w:rPr>
  </w:style>
  <w:style w:type="paragraph" w:styleId="TOC4">
    <w:name w:val="toc 4"/>
    <w:basedOn w:val="Normal"/>
    <w:next w:val="Normal"/>
    <w:autoRedefine/>
    <w:uiPriority w:val="39"/>
    <w:unhideWhenUsed/>
    <w:rsid w:val="00FC6557"/>
    <w:pPr>
      <w:ind w:left="720"/>
    </w:pPr>
    <w:rPr>
      <w:rFonts w:cstheme="minorHAnsi"/>
      <w:sz w:val="20"/>
      <w:szCs w:val="20"/>
    </w:rPr>
  </w:style>
  <w:style w:type="paragraph" w:styleId="TOC5">
    <w:name w:val="toc 5"/>
    <w:basedOn w:val="Normal"/>
    <w:next w:val="Normal"/>
    <w:autoRedefine/>
    <w:uiPriority w:val="39"/>
    <w:unhideWhenUsed/>
    <w:rsid w:val="00FC6557"/>
    <w:pPr>
      <w:ind w:left="960"/>
    </w:pPr>
    <w:rPr>
      <w:rFonts w:cstheme="minorHAnsi"/>
      <w:sz w:val="20"/>
      <w:szCs w:val="20"/>
    </w:rPr>
  </w:style>
  <w:style w:type="paragraph" w:styleId="TOC6">
    <w:name w:val="toc 6"/>
    <w:basedOn w:val="Normal"/>
    <w:next w:val="Normal"/>
    <w:autoRedefine/>
    <w:uiPriority w:val="39"/>
    <w:unhideWhenUsed/>
    <w:rsid w:val="00FC6557"/>
    <w:pPr>
      <w:ind w:left="1200"/>
    </w:pPr>
    <w:rPr>
      <w:rFonts w:cstheme="minorHAnsi"/>
      <w:sz w:val="20"/>
      <w:szCs w:val="20"/>
    </w:rPr>
  </w:style>
  <w:style w:type="paragraph" w:styleId="TOC7">
    <w:name w:val="toc 7"/>
    <w:basedOn w:val="Normal"/>
    <w:next w:val="Normal"/>
    <w:autoRedefine/>
    <w:uiPriority w:val="39"/>
    <w:unhideWhenUsed/>
    <w:rsid w:val="00FC6557"/>
    <w:pPr>
      <w:ind w:left="1440"/>
    </w:pPr>
    <w:rPr>
      <w:rFonts w:cstheme="minorHAnsi"/>
      <w:sz w:val="20"/>
      <w:szCs w:val="20"/>
    </w:rPr>
  </w:style>
  <w:style w:type="paragraph" w:styleId="TOC8">
    <w:name w:val="toc 8"/>
    <w:basedOn w:val="Normal"/>
    <w:next w:val="Normal"/>
    <w:autoRedefine/>
    <w:uiPriority w:val="39"/>
    <w:unhideWhenUsed/>
    <w:rsid w:val="00FC6557"/>
    <w:pPr>
      <w:ind w:left="1680"/>
    </w:pPr>
    <w:rPr>
      <w:rFonts w:cstheme="minorHAnsi"/>
      <w:sz w:val="20"/>
      <w:szCs w:val="20"/>
    </w:rPr>
  </w:style>
  <w:style w:type="paragraph" w:styleId="TOC9">
    <w:name w:val="toc 9"/>
    <w:basedOn w:val="Normal"/>
    <w:next w:val="Normal"/>
    <w:autoRedefine/>
    <w:uiPriority w:val="39"/>
    <w:unhideWhenUsed/>
    <w:rsid w:val="00FC6557"/>
    <w:pPr>
      <w:ind w:left="1920"/>
    </w:pPr>
    <w:rPr>
      <w:rFonts w:cstheme="minorHAnsi"/>
      <w:sz w:val="20"/>
      <w:szCs w:val="20"/>
    </w:rPr>
  </w:style>
  <w:style w:type="character" w:styleId="FollowedHyperlink">
    <w:name w:val="FollowedHyperlink"/>
    <w:basedOn w:val="DefaultParagraphFont"/>
    <w:uiPriority w:val="99"/>
    <w:semiHidden/>
    <w:unhideWhenUsed/>
    <w:rsid w:val="00FC6557"/>
    <w:rPr>
      <w:color w:val="954F72" w:themeColor="followedHyperlink"/>
      <w:u w:val="single"/>
    </w:rPr>
  </w:style>
  <w:style w:type="character" w:customStyle="1" w:styleId="UnresolvedMention">
    <w:name w:val="Unresolved Mention"/>
    <w:basedOn w:val="DefaultParagraphFont"/>
    <w:uiPriority w:val="99"/>
    <w:semiHidden/>
    <w:unhideWhenUsed/>
    <w:rsid w:val="00FC6557"/>
    <w:rPr>
      <w:color w:val="605E5C"/>
      <w:shd w:val="clear" w:color="auto" w:fill="E1DFDD"/>
    </w:rPr>
  </w:style>
  <w:style w:type="character" w:styleId="CommentReference">
    <w:name w:val="annotation reference"/>
    <w:basedOn w:val="DefaultParagraphFont"/>
    <w:uiPriority w:val="99"/>
    <w:semiHidden/>
    <w:unhideWhenUsed/>
    <w:rsid w:val="001C6099"/>
    <w:rPr>
      <w:sz w:val="16"/>
      <w:szCs w:val="16"/>
    </w:rPr>
  </w:style>
  <w:style w:type="paragraph" w:styleId="CommentText">
    <w:name w:val="annotation text"/>
    <w:basedOn w:val="Normal"/>
    <w:link w:val="CommentTextChar"/>
    <w:uiPriority w:val="99"/>
    <w:semiHidden/>
    <w:unhideWhenUsed/>
    <w:rsid w:val="001C6099"/>
    <w:rPr>
      <w:sz w:val="20"/>
      <w:szCs w:val="20"/>
    </w:rPr>
  </w:style>
  <w:style w:type="character" w:customStyle="1" w:styleId="CommentTextChar">
    <w:name w:val="Comment Text Char"/>
    <w:basedOn w:val="DefaultParagraphFont"/>
    <w:link w:val="CommentText"/>
    <w:uiPriority w:val="99"/>
    <w:semiHidden/>
    <w:rsid w:val="001C6099"/>
    <w:rPr>
      <w:sz w:val="20"/>
      <w:szCs w:val="20"/>
    </w:rPr>
  </w:style>
  <w:style w:type="paragraph" w:styleId="CommentSubject">
    <w:name w:val="annotation subject"/>
    <w:basedOn w:val="CommentText"/>
    <w:next w:val="CommentText"/>
    <w:link w:val="CommentSubjectChar"/>
    <w:uiPriority w:val="99"/>
    <w:semiHidden/>
    <w:unhideWhenUsed/>
    <w:rsid w:val="001C6099"/>
    <w:rPr>
      <w:b/>
      <w:bCs/>
    </w:rPr>
  </w:style>
  <w:style w:type="character" w:customStyle="1" w:styleId="CommentSubjectChar">
    <w:name w:val="Comment Subject Char"/>
    <w:basedOn w:val="CommentTextChar"/>
    <w:link w:val="CommentSubject"/>
    <w:uiPriority w:val="99"/>
    <w:semiHidden/>
    <w:rsid w:val="001C6099"/>
    <w:rPr>
      <w:b/>
      <w:bCs/>
      <w:sz w:val="20"/>
      <w:szCs w:val="20"/>
    </w:rPr>
  </w:style>
  <w:style w:type="paragraph" w:styleId="BalloonText">
    <w:name w:val="Balloon Text"/>
    <w:basedOn w:val="Normal"/>
    <w:link w:val="BalloonTextChar"/>
    <w:uiPriority w:val="99"/>
    <w:semiHidden/>
    <w:unhideWhenUsed/>
    <w:rsid w:val="001C60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C6099"/>
    <w:rPr>
      <w:rFonts w:ascii="Times New Roman" w:hAnsi="Times New Roman" w:cs="Times New Roman"/>
      <w:sz w:val="18"/>
      <w:szCs w:val="18"/>
    </w:rPr>
  </w:style>
  <w:style w:type="paragraph" w:styleId="Quote">
    <w:name w:val="Quote"/>
    <w:basedOn w:val="Normal"/>
    <w:next w:val="Normal"/>
    <w:link w:val="QuoteChar"/>
    <w:uiPriority w:val="29"/>
    <w:qFormat/>
    <w:rsid w:val="004462D8"/>
    <w:pPr>
      <w:spacing w:before="200" w:after="160" w:line="259" w:lineRule="auto"/>
      <w:ind w:left="864" w:right="864"/>
      <w:jc w:val="center"/>
    </w:pPr>
    <w:rPr>
      <w:i/>
      <w:iCs/>
      <w:color w:val="404040" w:themeColor="text1" w:themeTint="BF"/>
      <w:sz w:val="22"/>
      <w:szCs w:val="22"/>
    </w:rPr>
  </w:style>
  <w:style w:type="character" w:customStyle="1" w:styleId="QuoteChar">
    <w:name w:val="Quote Char"/>
    <w:basedOn w:val="DefaultParagraphFont"/>
    <w:link w:val="Quote"/>
    <w:uiPriority w:val="29"/>
    <w:rsid w:val="004462D8"/>
    <w:rPr>
      <w:i/>
      <w:iCs/>
      <w:color w:val="404040" w:themeColor="text1" w:themeTint="BF"/>
      <w:sz w:val="22"/>
      <w:szCs w:val="22"/>
    </w:rPr>
  </w:style>
  <w:style w:type="paragraph" w:styleId="IntenseQuote">
    <w:name w:val="Intense Quote"/>
    <w:basedOn w:val="Normal"/>
    <w:next w:val="Normal"/>
    <w:link w:val="IntenseQuoteChar"/>
    <w:uiPriority w:val="30"/>
    <w:qFormat/>
    <w:rsid w:val="00477AF0"/>
    <w:pPr>
      <w:pBdr>
        <w:top w:val="single" w:sz="4" w:space="10" w:color="588392"/>
        <w:bottom w:val="single" w:sz="4" w:space="10" w:color="588392"/>
      </w:pBdr>
      <w:spacing w:before="360" w:after="360"/>
      <w:ind w:left="864" w:right="864"/>
      <w:jc w:val="center"/>
    </w:pPr>
    <w:rPr>
      <w:i/>
      <w:iCs/>
      <w:color w:val="588392"/>
    </w:rPr>
  </w:style>
  <w:style w:type="character" w:customStyle="1" w:styleId="IntenseQuoteChar">
    <w:name w:val="Intense Quote Char"/>
    <w:basedOn w:val="DefaultParagraphFont"/>
    <w:link w:val="IntenseQuote"/>
    <w:uiPriority w:val="30"/>
    <w:rsid w:val="00477AF0"/>
    <w:rPr>
      <w:i/>
      <w:iCs/>
      <w:color w:val="588392"/>
    </w:rPr>
  </w:style>
  <w:style w:type="character" w:styleId="SubtleReference">
    <w:name w:val="Subtle Reference"/>
    <w:basedOn w:val="DefaultParagraphFont"/>
    <w:uiPriority w:val="31"/>
    <w:qFormat/>
    <w:rsid w:val="009C6FFC"/>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50718">
      <w:bodyDiv w:val="1"/>
      <w:marLeft w:val="0"/>
      <w:marRight w:val="0"/>
      <w:marTop w:val="0"/>
      <w:marBottom w:val="0"/>
      <w:divBdr>
        <w:top w:val="none" w:sz="0" w:space="0" w:color="auto"/>
        <w:left w:val="none" w:sz="0" w:space="0" w:color="auto"/>
        <w:bottom w:val="none" w:sz="0" w:space="0" w:color="auto"/>
        <w:right w:val="none" w:sz="0" w:space="0" w:color="auto"/>
      </w:divBdr>
    </w:div>
    <w:div w:id="578372536">
      <w:bodyDiv w:val="1"/>
      <w:marLeft w:val="0"/>
      <w:marRight w:val="0"/>
      <w:marTop w:val="0"/>
      <w:marBottom w:val="0"/>
      <w:divBdr>
        <w:top w:val="none" w:sz="0" w:space="0" w:color="auto"/>
        <w:left w:val="none" w:sz="0" w:space="0" w:color="auto"/>
        <w:bottom w:val="none" w:sz="0" w:space="0" w:color="auto"/>
        <w:right w:val="none" w:sz="0" w:space="0" w:color="auto"/>
      </w:divBdr>
    </w:div>
    <w:div w:id="871960142">
      <w:bodyDiv w:val="1"/>
      <w:marLeft w:val="0"/>
      <w:marRight w:val="0"/>
      <w:marTop w:val="0"/>
      <w:marBottom w:val="0"/>
      <w:divBdr>
        <w:top w:val="none" w:sz="0" w:space="0" w:color="auto"/>
        <w:left w:val="none" w:sz="0" w:space="0" w:color="auto"/>
        <w:bottom w:val="none" w:sz="0" w:space="0" w:color="auto"/>
        <w:right w:val="none" w:sz="0" w:space="0" w:color="auto"/>
      </w:divBdr>
    </w:div>
    <w:div w:id="1047799624">
      <w:bodyDiv w:val="1"/>
      <w:marLeft w:val="0"/>
      <w:marRight w:val="0"/>
      <w:marTop w:val="0"/>
      <w:marBottom w:val="0"/>
      <w:divBdr>
        <w:top w:val="none" w:sz="0" w:space="0" w:color="auto"/>
        <w:left w:val="none" w:sz="0" w:space="0" w:color="auto"/>
        <w:bottom w:val="none" w:sz="0" w:space="0" w:color="auto"/>
        <w:right w:val="none" w:sz="0" w:space="0" w:color="auto"/>
      </w:divBdr>
    </w:div>
    <w:div w:id="158912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eele.ac.uk/equalitydiversity/equalityawards/raceequalitycharter/keeledecolonisingthecurriculumnetwork/" TargetMode="External"/><Relationship Id="rId18" Type="http://schemas.openxmlformats.org/officeDocument/2006/relationships/chart" Target="charts/chart1.xml"/><Relationship Id="rId26" Type="http://schemas.openxmlformats.org/officeDocument/2006/relationships/hyperlink" Target="https://www.youtube.com/watch?v=uDJQ_XUZp9w" TargetMode="External"/><Relationship Id="rId39" Type="http://schemas.openxmlformats.org/officeDocument/2006/relationships/hyperlink" Target="https://thealternativereadinglistproject.wordpress.com/" TargetMode="External"/><Relationship Id="rId21" Type="http://schemas.openxmlformats.org/officeDocument/2006/relationships/hyperlink" Target="https://canvas.bham.ac.uk/courses/35787/pages/6th-10th-july-hefi-festival-2020?module_item_id=1458649" TargetMode="External"/><Relationship Id="rId34" Type="http://schemas.openxmlformats.org/officeDocument/2006/relationships/header" Target="header1.xml"/><Relationship Id="rId42" Type="http://schemas.openxmlformats.org/officeDocument/2006/relationships/hyperlink" Target="https://thealternativereadinglistproject.wordpress.com/" TargetMode="External"/><Relationship Id="rId47" Type="http://schemas.openxmlformats.org/officeDocument/2006/relationships/hyperlink" Target="https://www.tandfonline.com/doi/abs/10.1080/13696815.2019.1584552?src=recsys&amp;journalCode=cjac20" TargetMode="External"/><Relationship Id="rId50" Type="http://schemas.openxmlformats.org/officeDocument/2006/relationships/hyperlink" Target="https://www.tandfonline.com/doi/abs/10.1080/13696815.2019.1584552?src=recsys&amp;journalCode=cjac20" TargetMode="External"/><Relationship Id="rId55" Type="http://schemas.openxmlformats.org/officeDocument/2006/relationships/hyperlink" Target="https://theconversation.com/changing-what-universities-teach-is-a-process-not-a-single-event-59327" TargetMode="External"/><Relationship Id="rId7" Type="http://schemas.openxmlformats.org/officeDocument/2006/relationships/image" Target="NULL" TargetMode="External"/><Relationship Id="rId12" Type="http://schemas.openxmlformats.org/officeDocument/2006/relationships/hyperlink" Target="https://www.nus.org.uk/en/news/why-is-my-curriculum-white/" TargetMode="External"/><Relationship Id="rId17" Type="http://schemas.openxmlformats.org/officeDocument/2006/relationships/image" Target="media/image1.png"/><Relationship Id="rId25" Type="http://schemas.openxmlformats.org/officeDocument/2006/relationships/hyperlink" Target="https://www.youtube.com/watch?v=iUnsWni6u4A" TargetMode="External"/><Relationship Id="rId33" Type="http://schemas.openxmlformats.org/officeDocument/2006/relationships/hyperlink" Target="https://theconversation.com/changing-what-universities-teach-is-a-process-not-a-single-event-59327" TargetMode="External"/><Relationship Id="rId38" Type="http://schemas.openxmlformats.org/officeDocument/2006/relationships/image" Target="media/image5.png"/><Relationship Id="rId46" Type="http://schemas.openxmlformats.org/officeDocument/2006/relationships/hyperlink" Target="https://www.birmingham.ac.uk/research/spotlights/africa.aspx" TargetMode="External"/><Relationship Id="rId2" Type="http://schemas.openxmlformats.org/officeDocument/2006/relationships/styles" Target="styles.xml"/><Relationship Id="rId16" Type="http://schemas.openxmlformats.org/officeDocument/2006/relationships/hyperlink" Target="https://www.soas.ac.uk/blogs/study/decolonising-curriculum-whats-the-fuss/" TargetMode="External"/><Relationship Id="rId20" Type="http://schemas.openxmlformats.org/officeDocument/2006/relationships/chart" Target="charts/chart2.xml"/><Relationship Id="rId29" Type="http://schemas.openxmlformats.org/officeDocument/2006/relationships/hyperlink" Target="https://www.runnymedetrust.org/" TargetMode="External"/><Relationship Id="rId41" Type="http://schemas.openxmlformats.org/officeDocument/2006/relationships/hyperlink" Target="http://stemteachingtools.org/assets/landscapes/STEM-Teaching-Tool-55-Making-Diversity-Visible-in-STEM.pdf" TargetMode="External"/><Relationship Id="rId54" Type="http://schemas.openxmlformats.org/officeDocument/2006/relationships/hyperlink" Target="https://journals.sagepub.com/doi/full/10.1177/0144739420901743?casa_token=VmYkmSZX1DsAAAAA%3AibXOwSqJFpVbiWF1u88eg852KUMNaCoHd2VYYWwADPmkDIAu07XR7MLTEROFKm_hCRv3kVkIgVBdb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ytimes.com/2020/06/12/opinion/edward-colston-statue-racism.html" TargetMode="External"/><Relationship Id="rId24" Type="http://schemas.openxmlformats.org/officeDocument/2006/relationships/hyperlink" Target="https://www.youtube.com/watch?v=iUnsWni6u4A" TargetMode="External"/><Relationship Id="rId32" Type="http://schemas.openxmlformats.org/officeDocument/2006/relationships/hyperlink" Target="https://www.birmingham.ac.uk/university/hefi/index.aspx" TargetMode="External"/><Relationship Id="rId37" Type="http://schemas.openxmlformats.org/officeDocument/2006/relationships/footer" Target="footer2.xml"/><Relationship Id="rId40" Type="http://schemas.openxmlformats.org/officeDocument/2006/relationships/hyperlink" Target="http://democracyinafrica.org/decolonizing-the-university-the-african-politics-reading-list/" TargetMode="External"/><Relationship Id="rId45" Type="http://schemas.openxmlformats.org/officeDocument/2006/relationships/hyperlink" Target="https://www.tandfonline.com/doi/abs/10.1080/13696815.2019.1584552?src=recsys&amp;journalCode=cjac20" TargetMode="External"/><Relationship Id="rId53" Type="http://schemas.openxmlformats.org/officeDocument/2006/relationships/hyperlink" Target="https://api.parliament.uk/historic-hansard/commons/1940/may/21/colonial-development-and-welfare-bill"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iet.open.ac.uk/file/innovating-pedagogy-2019.pdf" TargetMode="External"/><Relationship Id="rId23" Type="http://schemas.openxmlformats.org/officeDocument/2006/relationships/hyperlink" Target="http://democracyinafrica.org/decolonizing_the_academy/" TargetMode="External"/><Relationship Id="rId28" Type="http://schemas.openxmlformats.org/officeDocument/2006/relationships/hyperlink" Target="https://www.youtube.com/watch?v=bVe4cGC6vrs" TargetMode="External"/><Relationship Id="rId36" Type="http://schemas.openxmlformats.org/officeDocument/2006/relationships/footer" Target="footer1.xml"/><Relationship Id="rId49" Type="http://schemas.openxmlformats.org/officeDocument/2006/relationships/hyperlink" Target="https://www.birmingham.ac.uk/research/spotlights/africa.aspx" TargetMode="External"/><Relationship Id="rId57" Type="http://schemas.openxmlformats.org/officeDocument/2006/relationships/fontTable" Target="fontTable.xml"/><Relationship Id="rId10" Type="http://schemas.openxmlformats.org/officeDocument/2006/relationships/hyperlink" Target="file:////Users/gerasimostsourapas/Desktop/Decolonising_1Sep.docx" TargetMode="External"/><Relationship Id="rId19" Type="http://schemas.openxmlformats.org/officeDocument/2006/relationships/image" Target="media/image2.emf"/><Relationship Id="rId31" Type="http://schemas.openxmlformats.org/officeDocument/2006/relationships/hyperlink" Target="https://blackculturalarchives.org/" TargetMode="External"/><Relationship Id="rId44" Type="http://schemas.openxmlformats.org/officeDocument/2006/relationships/hyperlink" Target="http://stemteachingtools.org/assets/landscapes/STEM-Teaching-Tool-55-Making-Diversity-Visible-in-STEM.pdf" TargetMode="External"/><Relationship Id="rId52" Type="http://schemas.openxmlformats.org/officeDocument/2006/relationships/hyperlink" Target="http://blog.gdi.manchester.ac.uk/decolonising-development/" TargetMode="External"/><Relationship Id="rId4" Type="http://schemas.openxmlformats.org/officeDocument/2006/relationships/webSettings" Target="webSettings.xml"/><Relationship Id="rId9" Type="http://schemas.openxmlformats.org/officeDocument/2006/relationships/hyperlink" Target="file:////Users/gerasimostsourapas/Desktop/Decolonising_1Sep.docx" TargetMode="External"/><Relationship Id="rId14" Type="http://schemas.openxmlformats.org/officeDocument/2006/relationships/hyperlink" Target="https://books.google.co.uk/books?id=aCKJuAzmf6UC&amp;pg=PA459&amp;lpg=PA459&amp;dq=%22the+restoration+to+such+works+and+interpretations+of+their+place+in+the+global+setting%22&amp;source=bl&amp;ots=wGXxhZL9tU&amp;sig=ACfU3U0tb3y6T8-AwlnEBDIxpLrH0BY8Jw&amp;hl=en&amp;sa=X&amp;ved=2ahUKEwict4qViJ3rAhWlQxUIHb_NCasQ6AEwBXoECAsQAQ" TargetMode="External"/><Relationship Id="rId22" Type="http://schemas.openxmlformats.org/officeDocument/2006/relationships/hyperlink" Target="https://www.zotero.org/groups/2282515/decolonisingcurriculum/library" TargetMode="External"/><Relationship Id="rId27" Type="http://schemas.openxmlformats.org/officeDocument/2006/relationships/hyperlink" Target="https://www.youtube.com/watch?v=PHDNnui-RD4" TargetMode="External"/><Relationship Id="rId30" Type="http://schemas.openxmlformats.org/officeDocument/2006/relationships/hyperlink" Target="https://www.runnymedetrust.org/projects/meb/report.html" TargetMode="External"/><Relationship Id="rId35" Type="http://schemas.openxmlformats.org/officeDocument/2006/relationships/header" Target="header2.xml"/><Relationship Id="rId43" Type="http://schemas.openxmlformats.org/officeDocument/2006/relationships/hyperlink" Target="http://democracyinafrica.org/decolonizing-the-university-the-african-politics-reading-list/" TargetMode="External"/><Relationship Id="rId48" Type="http://schemas.openxmlformats.org/officeDocument/2006/relationships/hyperlink" Target="https://www.tandfonline.com/doi/abs/10.1080/13696815.2019.1584552?src=recsys&amp;journalCode=cjac20" TargetMode="External"/><Relationship Id="rId56" Type="http://schemas.openxmlformats.org/officeDocument/2006/relationships/hyperlink" Target="https://avalon.law.yale.edu/20th_century/trudoc.asp" TargetMode="External"/><Relationship Id="rId8" Type="http://schemas.openxmlformats.org/officeDocument/2006/relationships/hyperlink" Target="file:////Users/gerasimostsourapas/Desktop/Decolonising_1Sep.docx" TargetMode="External"/><Relationship Id="rId51" Type="http://schemas.openxmlformats.org/officeDocument/2006/relationships/hyperlink" Target="https://www.carnegiecouncil.org/publications/ethics_online/0105" TargetMode="External"/><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commons.georgetown.edu/static/files/inclusive-pedagogy-pamphlet.pdf" TargetMode="External"/><Relationship Id="rId2" Type="http://schemas.openxmlformats.org/officeDocument/2006/relationships/hyperlink" Target="https://daisyblack.uk/decolonising-the-medieval-curriculum-critical-questions/" TargetMode="External"/><Relationship Id="rId1" Type="http://schemas.openxmlformats.org/officeDocument/2006/relationships/hyperlink" Target="https://theconversation.com/questions-academics-can-ask-to-decolonise-their-classrooms-10325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1687815b95ab306d/Documents/POLSIS%20In%20Colour/Survey/Survey%20Results/Comparison%20Dat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1687815b95ab306d/Documents/POLSIS%20In%20Colour/Survey/Survey%20Results/Comparison%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677949200567158E-2"/>
          <c:y val="0.16577355859737705"/>
          <c:w val="0.95108274509488089"/>
          <c:h val="0.69428505505317295"/>
        </c:manualLayout>
      </c:layout>
      <c:barChart>
        <c:barDir val="col"/>
        <c:grouping val="clustered"/>
        <c:varyColors val="0"/>
        <c:ser>
          <c:idx val="0"/>
          <c:order val="0"/>
          <c:tx>
            <c:strRef>
              <c:f>'Q11'!$M$20</c:f>
              <c:strCache>
                <c:ptCount val="1"/>
                <c:pt idx="0">
                  <c:v>Always </c:v>
                </c:pt>
              </c:strCache>
            </c:strRef>
          </c:tx>
          <c:spPr>
            <a:solidFill>
              <a:schemeClr val="accent6">
                <a:shade val="58000"/>
              </a:schemeClr>
            </a:solidFill>
            <a:ln>
              <a:noFill/>
            </a:ln>
            <a:effectLst/>
          </c:spPr>
          <c:invertIfNegative val="0"/>
          <c:dLbls>
            <c:spPr>
              <a:noFill/>
              <a:ln>
                <a:noFill/>
              </a:ln>
              <a:effectLst/>
            </c:spPr>
            <c:txPr>
              <a:bodyPr rot="0" spcFirstLastPara="1" vertOverflow="ellipsis" vert="horz" wrap="square" anchor="ctr" anchorCtr="1"/>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'Q11'!$L$21:$L$27</c:f>
              <c:strCache>
                <c:ptCount val="7"/>
                <c:pt idx="0">
                  <c:v>Attend their office hours</c:v>
                </c:pt>
                <c:pt idx="1">
                  <c:v>Attend my lectures</c:v>
                </c:pt>
                <c:pt idx="2">
                  <c:v>Attend my seminars</c:v>
                </c:pt>
                <c:pt idx="3">
                  <c:v>Participate in my seminars</c:v>
                </c:pt>
                <c:pt idx="4">
                  <c:v>See my personal tutor</c:v>
                </c:pt>
                <c:pt idx="5">
                  <c:v>Pursue further study (i.e. Masters and PhD)</c:v>
                </c:pt>
                <c:pt idx="6">
                  <c:v>Seek external academic opportunities</c:v>
                </c:pt>
              </c:strCache>
            </c:strRef>
          </c:cat>
          <c:val>
            <c:numRef>
              <c:f>'Q11'!$M$21:$M$27</c:f>
              <c:numCache>
                <c:formatCode>0%</c:formatCode>
                <c:ptCount val="7"/>
                <c:pt idx="0">
                  <c:v>0.38890000000000002</c:v>
                </c:pt>
                <c:pt idx="1">
                  <c:v>0.48149999999999998</c:v>
                </c:pt>
                <c:pt idx="2">
                  <c:v>0.48149999999999998</c:v>
                </c:pt>
                <c:pt idx="3">
                  <c:v>0.20369999999999999</c:v>
                </c:pt>
                <c:pt idx="4">
                  <c:v>9.2600000000000002E-2</c:v>
                </c:pt>
                <c:pt idx="5">
                  <c:v>3.6999999999999998E-2</c:v>
                </c:pt>
                <c:pt idx="6">
                  <c:v>0.12959999999999999</c:v>
                </c:pt>
              </c:numCache>
            </c:numRef>
          </c:val>
          <c:extLst>
            <c:ext xmlns:c16="http://schemas.microsoft.com/office/drawing/2014/chart" uri="{C3380CC4-5D6E-409C-BE32-E72D297353CC}">
              <c16:uniqueId val="{00000000-23F3-174E-BFBE-63123A23AC22}"/>
            </c:ext>
          </c:extLst>
        </c:ser>
        <c:ser>
          <c:idx val="1"/>
          <c:order val="1"/>
          <c:tx>
            <c:strRef>
              <c:f>'Q11'!$N$20</c:f>
              <c:strCache>
                <c:ptCount val="1"/>
                <c:pt idx="0">
                  <c:v>Most of the time </c:v>
                </c:pt>
              </c:strCache>
            </c:strRef>
          </c:tx>
          <c:spPr>
            <a:solidFill>
              <a:schemeClr val="accent6">
                <a:shade val="86000"/>
              </a:schemeClr>
            </a:solidFill>
            <a:ln>
              <a:noFill/>
            </a:ln>
            <a:effectLst/>
          </c:spPr>
          <c:invertIfNegative val="0"/>
          <c:dLbls>
            <c:spPr>
              <a:noFill/>
              <a:ln>
                <a:noFill/>
              </a:ln>
              <a:effectLst/>
            </c:spPr>
            <c:txPr>
              <a:bodyPr rot="0" spcFirstLastPara="1" vertOverflow="ellipsis" vert="horz" wrap="square" anchor="ctr" anchorCtr="1"/>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'Q11'!$L$21:$L$27</c:f>
              <c:strCache>
                <c:ptCount val="7"/>
                <c:pt idx="0">
                  <c:v>Attend their office hours</c:v>
                </c:pt>
                <c:pt idx="1">
                  <c:v>Attend my lectures</c:v>
                </c:pt>
                <c:pt idx="2">
                  <c:v>Attend my seminars</c:v>
                </c:pt>
                <c:pt idx="3">
                  <c:v>Participate in my seminars</c:v>
                </c:pt>
                <c:pt idx="4">
                  <c:v>See my personal tutor</c:v>
                </c:pt>
                <c:pt idx="5">
                  <c:v>Pursue further study (i.e. Masters and PhD)</c:v>
                </c:pt>
                <c:pt idx="6">
                  <c:v>Seek external academic opportunities</c:v>
                </c:pt>
              </c:strCache>
            </c:strRef>
          </c:cat>
          <c:val>
            <c:numRef>
              <c:f>'Q11'!$N$21:$N$27</c:f>
              <c:numCache>
                <c:formatCode>0%</c:formatCode>
                <c:ptCount val="7"/>
                <c:pt idx="0">
                  <c:v>0.33329999999999999</c:v>
                </c:pt>
                <c:pt idx="1">
                  <c:v>0.31480000000000002</c:v>
                </c:pt>
                <c:pt idx="2">
                  <c:v>0.25929999999999997</c:v>
                </c:pt>
                <c:pt idx="3">
                  <c:v>0.44440000000000002</c:v>
                </c:pt>
                <c:pt idx="4">
                  <c:v>0.12959999999999999</c:v>
                </c:pt>
                <c:pt idx="5">
                  <c:v>7.4099999999999999E-2</c:v>
                </c:pt>
                <c:pt idx="6">
                  <c:v>9.2600000000000002E-2</c:v>
                </c:pt>
              </c:numCache>
            </c:numRef>
          </c:val>
          <c:extLst>
            <c:ext xmlns:c16="http://schemas.microsoft.com/office/drawing/2014/chart" uri="{C3380CC4-5D6E-409C-BE32-E72D297353CC}">
              <c16:uniqueId val="{00000001-23F3-174E-BFBE-63123A23AC22}"/>
            </c:ext>
          </c:extLst>
        </c:ser>
        <c:ser>
          <c:idx val="2"/>
          <c:order val="2"/>
          <c:tx>
            <c:strRef>
              <c:f>'Q11'!$O$20</c:f>
              <c:strCache>
                <c:ptCount val="1"/>
                <c:pt idx="0">
                  <c:v>Sometimes </c:v>
                </c:pt>
              </c:strCache>
            </c:strRef>
          </c:tx>
          <c:spPr>
            <a:solidFill>
              <a:schemeClr val="accent6">
                <a:tint val="86000"/>
              </a:schemeClr>
            </a:solidFill>
            <a:ln>
              <a:noFill/>
            </a:ln>
            <a:effectLst/>
          </c:spPr>
          <c:invertIfNegative val="0"/>
          <c:dLbls>
            <c:spPr>
              <a:noFill/>
              <a:ln>
                <a:noFill/>
              </a:ln>
              <a:effectLst/>
            </c:spPr>
            <c:txPr>
              <a:bodyPr rot="0" spcFirstLastPara="1" vertOverflow="ellipsis" vert="horz" wrap="square" anchor="ctr" anchorCtr="1"/>
              <a:lstStyle/>
              <a:p>
                <a:pPr algn="ct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'Q11'!$L$21:$L$27</c:f>
              <c:strCache>
                <c:ptCount val="7"/>
                <c:pt idx="0">
                  <c:v>Attend their office hours</c:v>
                </c:pt>
                <c:pt idx="1">
                  <c:v>Attend my lectures</c:v>
                </c:pt>
                <c:pt idx="2">
                  <c:v>Attend my seminars</c:v>
                </c:pt>
                <c:pt idx="3">
                  <c:v>Participate in my seminars</c:v>
                </c:pt>
                <c:pt idx="4">
                  <c:v>See my personal tutor</c:v>
                </c:pt>
                <c:pt idx="5">
                  <c:v>Pursue further study (i.e. Masters and PhD)</c:v>
                </c:pt>
                <c:pt idx="6">
                  <c:v>Seek external academic opportunities</c:v>
                </c:pt>
              </c:strCache>
            </c:strRef>
          </c:cat>
          <c:val>
            <c:numRef>
              <c:f>'Q11'!$O$21:$O$27</c:f>
              <c:numCache>
                <c:formatCode>0%</c:formatCode>
                <c:ptCount val="7"/>
                <c:pt idx="0">
                  <c:v>0.1852</c:v>
                </c:pt>
                <c:pt idx="1">
                  <c:v>0.14810000000000001</c:v>
                </c:pt>
                <c:pt idx="2">
                  <c:v>0.20369999999999999</c:v>
                </c:pt>
                <c:pt idx="3">
                  <c:v>0.22220000000000001</c:v>
                </c:pt>
                <c:pt idx="4">
                  <c:v>0.40739999999999998</c:v>
                </c:pt>
                <c:pt idx="5">
                  <c:v>0.1852</c:v>
                </c:pt>
                <c:pt idx="6">
                  <c:v>0.40739999999999998</c:v>
                </c:pt>
              </c:numCache>
            </c:numRef>
          </c:val>
          <c:extLst>
            <c:ext xmlns:c16="http://schemas.microsoft.com/office/drawing/2014/chart" uri="{C3380CC4-5D6E-409C-BE32-E72D297353CC}">
              <c16:uniqueId val="{00000002-23F3-174E-BFBE-63123A23AC22}"/>
            </c:ext>
          </c:extLst>
        </c:ser>
        <c:ser>
          <c:idx val="3"/>
          <c:order val="3"/>
          <c:tx>
            <c:strRef>
              <c:f>'Q11'!$P$20</c:f>
              <c:strCache>
                <c:ptCount val="1"/>
                <c:pt idx="0">
                  <c:v>Never </c:v>
                </c:pt>
              </c:strCache>
            </c:strRef>
          </c:tx>
          <c:spPr>
            <a:solidFill>
              <a:schemeClr val="accent6">
                <a:tint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'Q11'!$L$21:$L$27</c:f>
              <c:strCache>
                <c:ptCount val="7"/>
                <c:pt idx="0">
                  <c:v>Attend their office hours</c:v>
                </c:pt>
                <c:pt idx="1">
                  <c:v>Attend my lectures</c:v>
                </c:pt>
                <c:pt idx="2">
                  <c:v>Attend my seminars</c:v>
                </c:pt>
                <c:pt idx="3">
                  <c:v>Participate in my seminars</c:v>
                </c:pt>
                <c:pt idx="4">
                  <c:v>See my personal tutor</c:v>
                </c:pt>
                <c:pt idx="5">
                  <c:v>Pursue further study (i.e. Masters and PhD)</c:v>
                </c:pt>
                <c:pt idx="6">
                  <c:v>Seek external academic opportunities</c:v>
                </c:pt>
              </c:strCache>
            </c:strRef>
          </c:cat>
          <c:val>
            <c:numRef>
              <c:f>'Q11'!$P$21:$P$27</c:f>
              <c:numCache>
                <c:formatCode>0%</c:formatCode>
                <c:ptCount val="7"/>
                <c:pt idx="0">
                  <c:v>9.2600000000000002E-2</c:v>
                </c:pt>
                <c:pt idx="1">
                  <c:v>5.5599999999999997E-2</c:v>
                </c:pt>
                <c:pt idx="2">
                  <c:v>5.5599999999999997E-2</c:v>
                </c:pt>
                <c:pt idx="3">
                  <c:v>0.12959999999999999</c:v>
                </c:pt>
                <c:pt idx="4">
                  <c:v>0.37040000000000001</c:v>
                </c:pt>
                <c:pt idx="5">
                  <c:v>0.70369999999999999</c:v>
                </c:pt>
                <c:pt idx="6">
                  <c:v>0.37040000000000001</c:v>
                </c:pt>
              </c:numCache>
            </c:numRef>
          </c:val>
          <c:extLst>
            <c:ext xmlns:c16="http://schemas.microsoft.com/office/drawing/2014/chart" uri="{C3380CC4-5D6E-409C-BE32-E72D297353CC}">
              <c16:uniqueId val="{00000003-23F3-174E-BFBE-63123A23AC22}"/>
            </c:ext>
          </c:extLst>
        </c:ser>
        <c:dLbls>
          <c:showLegendKey val="0"/>
          <c:showVal val="1"/>
          <c:showCatName val="0"/>
          <c:showSerName val="0"/>
          <c:showPercent val="0"/>
          <c:showBubbleSize val="0"/>
        </c:dLbls>
        <c:gapWidth val="95"/>
        <c:axId val="870261680"/>
        <c:axId val="870270864"/>
      </c:barChart>
      <c:catAx>
        <c:axId val="870261680"/>
        <c:scaling>
          <c:orientation val="minMax"/>
        </c:scaling>
        <c:delete val="0"/>
        <c:axPos val="b"/>
        <c:numFmt formatCode="General" sourceLinked="1"/>
        <c:majorTickMark val="none"/>
        <c:minorTickMark val="none"/>
        <c:tickLblPos val="nextTo"/>
        <c:spPr>
          <a:noFill/>
          <a:ln w="9525" cap="flat" cmpd="sng" algn="ctr">
            <a:solidFill>
              <a:srgbClr val="4472C4"/>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870270864"/>
        <c:crosses val="autoZero"/>
        <c:auto val="1"/>
        <c:lblAlgn val="ctr"/>
        <c:lblOffset val="100"/>
        <c:noMultiLvlLbl val="0"/>
      </c:catAx>
      <c:valAx>
        <c:axId val="870270864"/>
        <c:scaling>
          <c:orientation val="minMax"/>
        </c:scaling>
        <c:delete val="1"/>
        <c:axPos val="l"/>
        <c:numFmt formatCode="0%" sourceLinked="1"/>
        <c:majorTickMark val="none"/>
        <c:minorTickMark val="none"/>
        <c:tickLblPos val="nextTo"/>
        <c:crossAx val="870261680"/>
        <c:crosses val="autoZero"/>
        <c:crossBetween val="between"/>
      </c:valAx>
      <c:spPr>
        <a:noFill/>
        <a:ln>
          <a:noFill/>
        </a:ln>
        <a:effectLst/>
      </c:spPr>
    </c:plotArea>
    <c:legend>
      <c:legendPos val="t"/>
      <c:layout>
        <c:manualLayout>
          <c:xMode val="edge"/>
          <c:yMode val="edge"/>
          <c:x val="5.2215733724620551E-2"/>
          <c:y val="6.4724664546521329E-2"/>
          <c:w val="0.86737601118448815"/>
          <c:h val="8.8737813202421495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12700" cap="flat" cmpd="sng" algn="ctr">
      <a:solidFill>
        <a:srgbClr val="4472C4"/>
      </a:solidFill>
      <a:prstDash val="solid"/>
      <a:miter lim="800000"/>
    </a:ln>
    <a:effectLst/>
  </c:spPr>
  <c:txPr>
    <a:bodyPr/>
    <a:lstStyle/>
    <a:p>
      <a:pPr algn="just">
        <a:defRPr>
          <a:solidFill>
            <a:sysClr val="windowText" lastClr="000000"/>
          </a:solidFill>
          <a:latin typeface="+mn-lt"/>
          <a:ea typeface="+mn-ea"/>
          <a:cs typeface="+mn-cs"/>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'Q16'!$C$1</c:f>
              <c:strCache>
                <c:ptCount val="1"/>
                <c:pt idx="0">
                  <c:v>BAME</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'Q16'!$B$2:$B$13</c:f>
              <c:strCache>
                <c:ptCount val="12"/>
                <c:pt idx="0">
                  <c:v>Student Experience Officer</c:v>
                </c:pt>
                <c:pt idx="1">
                  <c:v>My Lecturer</c:v>
                </c:pt>
                <c:pt idx="2">
                  <c:v>My Seminar Tutor</c:v>
                </c:pt>
                <c:pt idx="3">
                  <c:v>My Personal Tutor</c:v>
                </c:pt>
                <c:pt idx="4">
                  <c:v>My Friends</c:v>
                </c:pt>
                <c:pt idx="5">
                  <c:v>My Family</c:v>
                </c:pt>
                <c:pt idx="6">
                  <c:v>The Guild</c:v>
                </c:pt>
                <c:pt idx="7">
                  <c:v>Social Media</c:v>
                </c:pt>
                <c:pt idx="8">
                  <c:v>Welfare Tutor</c:v>
                </c:pt>
                <c:pt idx="9">
                  <c:v>A trusted member of staff</c:v>
                </c:pt>
                <c:pt idx="10">
                  <c:v>Head of Department</c:v>
                </c:pt>
                <c:pt idx="11">
                  <c:v>Keep it to myself</c:v>
                </c:pt>
              </c:strCache>
            </c:strRef>
          </c:cat>
          <c:val>
            <c:numRef>
              <c:f>'Q16'!$C$2:$C$13</c:f>
              <c:numCache>
                <c:formatCode>0%</c:formatCode>
                <c:ptCount val="12"/>
                <c:pt idx="0">
                  <c:v>0.66669999999999996</c:v>
                </c:pt>
                <c:pt idx="1">
                  <c:v>0.35189999999999999</c:v>
                </c:pt>
                <c:pt idx="2">
                  <c:v>0.38890000000000002</c:v>
                </c:pt>
                <c:pt idx="3">
                  <c:v>0.48149999999999998</c:v>
                </c:pt>
                <c:pt idx="4">
                  <c:v>0.92589999999999995</c:v>
                </c:pt>
                <c:pt idx="5">
                  <c:v>0.81479999999999997</c:v>
                </c:pt>
                <c:pt idx="6">
                  <c:v>0.35189999999999999</c:v>
                </c:pt>
                <c:pt idx="7">
                  <c:v>0.40739999999999998</c:v>
                </c:pt>
                <c:pt idx="8">
                  <c:v>0.57410000000000005</c:v>
                </c:pt>
                <c:pt idx="9">
                  <c:v>0.59260000000000002</c:v>
                </c:pt>
                <c:pt idx="10">
                  <c:v>0.38890000000000002</c:v>
                </c:pt>
                <c:pt idx="11">
                  <c:v>0.68520000000000003</c:v>
                </c:pt>
              </c:numCache>
            </c:numRef>
          </c:val>
          <c:extLst>
            <c:ext xmlns:c16="http://schemas.microsoft.com/office/drawing/2014/chart" uri="{C3380CC4-5D6E-409C-BE32-E72D297353CC}">
              <c16:uniqueId val="{00000000-6EA4-0E44-8DAA-53B995A1E8FD}"/>
            </c:ext>
          </c:extLst>
        </c:ser>
        <c:ser>
          <c:idx val="1"/>
          <c:order val="1"/>
          <c:tx>
            <c:strRef>
              <c:f>'Q16'!$D$1</c:f>
              <c:strCache>
                <c:ptCount val="1"/>
                <c:pt idx="0">
                  <c:v>White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'Q16'!$B$2:$B$13</c:f>
              <c:strCache>
                <c:ptCount val="12"/>
                <c:pt idx="0">
                  <c:v>Student Experience Officer</c:v>
                </c:pt>
                <c:pt idx="1">
                  <c:v>My Lecturer</c:v>
                </c:pt>
                <c:pt idx="2">
                  <c:v>My Seminar Tutor</c:v>
                </c:pt>
                <c:pt idx="3">
                  <c:v>My Personal Tutor</c:v>
                </c:pt>
                <c:pt idx="4">
                  <c:v>My Friends</c:v>
                </c:pt>
                <c:pt idx="5">
                  <c:v>My Family</c:v>
                </c:pt>
                <c:pt idx="6">
                  <c:v>The Guild</c:v>
                </c:pt>
                <c:pt idx="7">
                  <c:v>Social Media</c:v>
                </c:pt>
                <c:pt idx="8">
                  <c:v>Welfare Tutor</c:v>
                </c:pt>
                <c:pt idx="9">
                  <c:v>A trusted member of staff</c:v>
                </c:pt>
                <c:pt idx="10">
                  <c:v>Head of Department</c:v>
                </c:pt>
                <c:pt idx="11">
                  <c:v>Keep it to myself</c:v>
                </c:pt>
              </c:strCache>
            </c:strRef>
          </c:cat>
          <c:val>
            <c:numRef>
              <c:f>'Q16'!$D$2:$D$13</c:f>
              <c:numCache>
                <c:formatCode>0%</c:formatCode>
                <c:ptCount val="12"/>
                <c:pt idx="0">
                  <c:v>0.69350000000000001</c:v>
                </c:pt>
                <c:pt idx="1">
                  <c:v>0.5645</c:v>
                </c:pt>
                <c:pt idx="2">
                  <c:v>0.6452</c:v>
                </c:pt>
                <c:pt idx="3">
                  <c:v>0.69350000000000001</c:v>
                </c:pt>
                <c:pt idx="4">
                  <c:v>0.9839</c:v>
                </c:pt>
                <c:pt idx="5">
                  <c:v>0.9032</c:v>
                </c:pt>
                <c:pt idx="6">
                  <c:v>0.6613</c:v>
                </c:pt>
                <c:pt idx="7">
                  <c:v>0.5484</c:v>
                </c:pt>
                <c:pt idx="8">
                  <c:v>0.8548</c:v>
                </c:pt>
                <c:pt idx="9">
                  <c:v>0.8871</c:v>
                </c:pt>
                <c:pt idx="10">
                  <c:v>0.4839</c:v>
                </c:pt>
                <c:pt idx="11">
                  <c:v>0.629</c:v>
                </c:pt>
              </c:numCache>
            </c:numRef>
          </c:val>
          <c:extLst>
            <c:ext xmlns:c16="http://schemas.microsoft.com/office/drawing/2014/chart" uri="{C3380CC4-5D6E-409C-BE32-E72D297353CC}">
              <c16:uniqueId val="{00000001-6EA4-0E44-8DAA-53B995A1E8FD}"/>
            </c:ext>
          </c:extLst>
        </c:ser>
        <c:dLbls>
          <c:showLegendKey val="0"/>
          <c:showVal val="1"/>
          <c:showCatName val="0"/>
          <c:showSerName val="0"/>
          <c:showPercent val="0"/>
          <c:showBubbleSize val="0"/>
        </c:dLbls>
        <c:gapWidth val="150"/>
        <c:overlap val="-25"/>
        <c:axId val="303974424"/>
        <c:axId val="303971144"/>
      </c:barChart>
      <c:catAx>
        <c:axId val="303974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mn-ea"/>
                <a:cs typeface="Calibri" panose="020F0502020204030204" pitchFamily="34" charset="0"/>
              </a:defRPr>
            </a:pPr>
            <a:endParaRPr lang="en-US"/>
          </a:p>
        </c:txPr>
        <c:crossAx val="303971144"/>
        <c:crosses val="autoZero"/>
        <c:auto val="1"/>
        <c:lblAlgn val="ctr"/>
        <c:lblOffset val="100"/>
        <c:noMultiLvlLbl val="0"/>
      </c:catAx>
      <c:valAx>
        <c:axId val="303971144"/>
        <c:scaling>
          <c:orientation val="minMax"/>
        </c:scaling>
        <c:delete val="1"/>
        <c:axPos val="b"/>
        <c:numFmt formatCode="0%" sourceLinked="1"/>
        <c:majorTickMark val="none"/>
        <c:minorTickMark val="none"/>
        <c:tickLblPos val="nextTo"/>
        <c:crossAx val="303974424"/>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ysClr val="window" lastClr="FFFFFF"/>
    </a:solidFill>
    <a:ln w="12700" cap="flat" cmpd="sng" algn="ctr">
      <a:solidFill>
        <a:srgbClr val="4472C4"/>
      </a:solidFill>
      <a:prstDash val="solid"/>
      <a:miter lim="800000"/>
    </a:ln>
    <a:effectLst/>
  </c:spPr>
  <c:txPr>
    <a:bodyPr/>
    <a:lstStyle/>
    <a:p>
      <a:pPr>
        <a:defRPr>
          <a:solidFill>
            <a:sysClr val="windowText" lastClr="000000"/>
          </a:solidFill>
          <a:latin typeface="+mn-lt"/>
          <a:ea typeface="+mn-ea"/>
          <a:cs typeface="+mn-cs"/>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37</Pages>
  <Words>11927</Words>
  <Characters>67987</Characters>
  <Application>Microsoft Office Word</Application>
  <DocSecurity>4</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Gerasimos Tsourapas</dc:creator>
  <cp:keywords/>
  <dc:description/>
  <cp:lastModifiedBy>rosserhr</cp:lastModifiedBy>
  <cp:revision>2</cp:revision>
  <cp:lastPrinted>2020-09-03T07:05:00Z</cp:lastPrinted>
  <dcterms:created xsi:type="dcterms:W3CDTF">2021-02-23T10:28:00Z</dcterms:created>
  <dcterms:modified xsi:type="dcterms:W3CDTF">2021-02-23T10:28:00Z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zotero-version="5.0.90-beta.1+7c201f5d5"&gt;&lt;session id="zCc6fWpy"/&gt;&lt;style id="http://www.zotero.org/styles/chicago-author-date" locale="en-GB" hasBibliography="1" bibliographyStyleHasBeenSet="0"/&gt;&lt;prefs&gt;&lt;pref name="fieldType" value="F</vt:lpwstr>
  </property>
  <property fmtid="{D5CDD505-2E9C-101B-9397-08002B2CF9AE}" pid="3" name="ZOTERO_PREF_2">
    <vt:lpwstr>ield"/&gt;&lt;pref name="automaticJournalAbbreviations" value="true"/&gt;&lt;/prefs&gt;&lt;/data&gt;</vt:lpwstr>
  </property>
</Properties>
</file>