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4AFFE" w14:textId="4191A6D4" w:rsidR="00DA1F0B" w:rsidRDefault="008A6006" w:rsidP="00C5406D">
      <w:pPr>
        <w:jc w:val="center"/>
        <w:rPr>
          <w:b/>
          <w:bCs/>
          <w:sz w:val="36"/>
          <w:szCs w:val="40"/>
          <w:u w:val="single"/>
        </w:rPr>
      </w:pPr>
      <w:r w:rsidRPr="00C5406D">
        <w:rPr>
          <w:b/>
          <w:bCs/>
          <w:sz w:val="36"/>
          <w:szCs w:val="40"/>
          <w:u w:val="single"/>
        </w:rPr>
        <w:t>History</w:t>
      </w:r>
      <w:r w:rsidR="00C5406D">
        <w:rPr>
          <w:b/>
          <w:bCs/>
          <w:sz w:val="36"/>
          <w:szCs w:val="40"/>
          <w:u w:val="single"/>
        </w:rPr>
        <w:t xml:space="preserve"> </w:t>
      </w:r>
      <w:r w:rsidR="00F902ED">
        <w:rPr>
          <w:b/>
          <w:bCs/>
          <w:sz w:val="36"/>
          <w:szCs w:val="40"/>
          <w:u w:val="single"/>
        </w:rPr>
        <w:t>SAE</w:t>
      </w:r>
      <w:r w:rsidR="00DA1F0B" w:rsidRPr="00C5406D">
        <w:rPr>
          <w:b/>
          <w:bCs/>
          <w:sz w:val="36"/>
          <w:szCs w:val="40"/>
          <w:u w:val="single"/>
        </w:rPr>
        <w:t xml:space="preserve"> Optional Modules </w:t>
      </w:r>
      <w:r w:rsidR="00F006C7">
        <w:rPr>
          <w:b/>
          <w:bCs/>
          <w:sz w:val="36"/>
          <w:szCs w:val="40"/>
          <w:u w:val="single"/>
        </w:rPr>
        <w:t>2025-26</w:t>
      </w:r>
    </w:p>
    <w:sdt>
      <w:sdtPr>
        <w:rPr>
          <w:rFonts w:asciiTheme="minorHAnsi" w:eastAsia="Times New Roman" w:hAnsiTheme="minorHAnsi" w:cs="Times New Roman"/>
          <w:color w:val="auto"/>
          <w:sz w:val="22"/>
          <w:szCs w:val="22"/>
          <w:lang w:val="en-GB"/>
        </w:rPr>
        <w:id w:val="-271087940"/>
        <w:docPartObj>
          <w:docPartGallery w:val="Table of Contents"/>
          <w:docPartUnique/>
        </w:docPartObj>
      </w:sdtPr>
      <w:sdtEndPr>
        <w:rPr>
          <w:b/>
          <w:bCs/>
          <w:noProof/>
        </w:rPr>
      </w:sdtEndPr>
      <w:sdtContent>
        <w:p w14:paraId="5F71B6D1" w14:textId="5D574484" w:rsidR="00C5406D" w:rsidRDefault="00C5406D">
          <w:pPr>
            <w:pStyle w:val="TOCHeading"/>
          </w:pPr>
          <w:r>
            <w:t>Contents</w:t>
          </w:r>
        </w:p>
        <w:p w14:paraId="400B103D" w14:textId="2D4F4E19" w:rsidR="0048637B" w:rsidRDefault="00C5406D">
          <w:pPr>
            <w:pStyle w:val="TOC1"/>
            <w:tabs>
              <w:tab w:val="right" w:leader="dot" w:pos="9016"/>
            </w:tabs>
            <w:rPr>
              <w:rFonts w:eastAsiaTheme="minorEastAsia" w:cstheme="minorBidi"/>
              <w:noProof/>
              <w:kern w:val="2"/>
              <w:sz w:val="24"/>
              <w:lang w:eastAsia="en-GB"/>
              <w14:ligatures w14:val="standardContextual"/>
            </w:rPr>
          </w:pPr>
          <w:r>
            <w:fldChar w:fldCharType="begin"/>
          </w:r>
          <w:r>
            <w:instrText xml:space="preserve"> TOC \o "1-3" \h \z \u </w:instrText>
          </w:r>
          <w:r>
            <w:fldChar w:fldCharType="separate"/>
          </w:r>
          <w:hyperlink w:anchor="_Toc211862855" w:history="1">
            <w:r w:rsidR="0048637B" w:rsidRPr="009B7A34">
              <w:rPr>
                <w:rStyle w:val="Hyperlink"/>
                <w:noProof/>
              </w:rPr>
              <w:t>LC Semester 2 – 20 Credit Modules</w:t>
            </w:r>
            <w:r w:rsidR="0048637B">
              <w:rPr>
                <w:noProof/>
                <w:webHidden/>
              </w:rPr>
              <w:tab/>
            </w:r>
            <w:r w:rsidR="0048637B">
              <w:rPr>
                <w:noProof/>
                <w:webHidden/>
              </w:rPr>
              <w:fldChar w:fldCharType="begin"/>
            </w:r>
            <w:r w:rsidR="0048637B">
              <w:rPr>
                <w:noProof/>
                <w:webHidden/>
              </w:rPr>
              <w:instrText xml:space="preserve"> PAGEREF _Toc211862855 \h </w:instrText>
            </w:r>
            <w:r w:rsidR="0048637B">
              <w:rPr>
                <w:noProof/>
                <w:webHidden/>
              </w:rPr>
            </w:r>
            <w:r w:rsidR="0048637B">
              <w:rPr>
                <w:noProof/>
                <w:webHidden/>
              </w:rPr>
              <w:fldChar w:fldCharType="separate"/>
            </w:r>
            <w:r w:rsidR="0048637B">
              <w:rPr>
                <w:noProof/>
                <w:webHidden/>
              </w:rPr>
              <w:t>1</w:t>
            </w:r>
            <w:r w:rsidR="0048637B">
              <w:rPr>
                <w:noProof/>
                <w:webHidden/>
              </w:rPr>
              <w:fldChar w:fldCharType="end"/>
            </w:r>
          </w:hyperlink>
        </w:p>
        <w:p w14:paraId="037ACDC7" w14:textId="70F784B6" w:rsidR="0048637B" w:rsidRDefault="0048637B">
          <w:pPr>
            <w:pStyle w:val="TOC1"/>
            <w:tabs>
              <w:tab w:val="right" w:leader="dot" w:pos="9016"/>
            </w:tabs>
            <w:rPr>
              <w:rFonts w:eastAsiaTheme="minorEastAsia" w:cstheme="minorBidi"/>
              <w:noProof/>
              <w:kern w:val="2"/>
              <w:sz w:val="24"/>
              <w:lang w:eastAsia="en-GB"/>
              <w14:ligatures w14:val="standardContextual"/>
            </w:rPr>
          </w:pPr>
          <w:hyperlink w:anchor="_Toc211862856" w:history="1">
            <w:r w:rsidRPr="009B7A34">
              <w:rPr>
                <w:rStyle w:val="Hyperlink"/>
                <w:noProof/>
              </w:rPr>
              <w:t>LI Semester 2 - 20 Credit Modules</w:t>
            </w:r>
            <w:r>
              <w:rPr>
                <w:noProof/>
                <w:webHidden/>
              </w:rPr>
              <w:tab/>
            </w:r>
            <w:r>
              <w:rPr>
                <w:noProof/>
                <w:webHidden/>
              </w:rPr>
              <w:fldChar w:fldCharType="begin"/>
            </w:r>
            <w:r>
              <w:rPr>
                <w:noProof/>
                <w:webHidden/>
              </w:rPr>
              <w:instrText xml:space="preserve"> PAGEREF _Toc211862856 \h </w:instrText>
            </w:r>
            <w:r>
              <w:rPr>
                <w:noProof/>
                <w:webHidden/>
              </w:rPr>
            </w:r>
            <w:r>
              <w:rPr>
                <w:noProof/>
                <w:webHidden/>
              </w:rPr>
              <w:fldChar w:fldCharType="separate"/>
            </w:r>
            <w:r>
              <w:rPr>
                <w:noProof/>
                <w:webHidden/>
              </w:rPr>
              <w:t>2</w:t>
            </w:r>
            <w:r>
              <w:rPr>
                <w:noProof/>
                <w:webHidden/>
              </w:rPr>
              <w:fldChar w:fldCharType="end"/>
            </w:r>
          </w:hyperlink>
        </w:p>
        <w:p w14:paraId="19350810" w14:textId="20B5561F" w:rsidR="0048637B" w:rsidRDefault="0048637B">
          <w:pPr>
            <w:pStyle w:val="TOC1"/>
            <w:tabs>
              <w:tab w:val="right" w:leader="dot" w:pos="9016"/>
            </w:tabs>
            <w:rPr>
              <w:rFonts w:eastAsiaTheme="minorEastAsia" w:cstheme="minorBidi"/>
              <w:noProof/>
              <w:kern w:val="2"/>
              <w:sz w:val="24"/>
              <w:lang w:eastAsia="en-GB"/>
              <w14:ligatures w14:val="standardContextual"/>
            </w:rPr>
          </w:pPr>
          <w:hyperlink w:anchor="_Toc211862857" w:history="1">
            <w:r w:rsidRPr="009B7A34">
              <w:rPr>
                <w:rStyle w:val="Hyperlink"/>
                <w:noProof/>
              </w:rPr>
              <w:t>LH Semester 2 - 20 Credit Optional Modules</w:t>
            </w:r>
            <w:r>
              <w:rPr>
                <w:noProof/>
                <w:webHidden/>
              </w:rPr>
              <w:tab/>
            </w:r>
            <w:r>
              <w:rPr>
                <w:noProof/>
                <w:webHidden/>
              </w:rPr>
              <w:fldChar w:fldCharType="begin"/>
            </w:r>
            <w:r>
              <w:rPr>
                <w:noProof/>
                <w:webHidden/>
              </w:rPr>
              <w:instrText xml:space="preserve"> PAGEREF _Toc211862857 \h </w:instrText>
            </w:r>
            <w:r>
              <w:rPr>
                <w:noProof/>
                <w:webHidden/>
              </w:rPr>
            </w:r>
            <w:r>
              <w:rPr>
                <w:noProof/>
                <w:webHidden/>
              </w:rPr>
              <w:fldChar w:fldCharType="separate"/>
            </w:r>
            <w:r>
              <w:rPr>
                <w:noProof/>
                <w:webHidden/>
              </w:rPr>
              <w:t>5</w:t>
            </w:r>
            <w:r>
              <w:rPr>
                <w:noProof/>
                <w:webHidden/>
              </w:rPr>
              <w:fldChar w:fldCharType="end"/>
            </w:r>
          </w:hyperlink>
        </w:p>
        <w:p w14:paraId="287F687D" w14:textId="22830D34" w:rsidR="00C5406D" w:rsidRDefault="00C5406D">
          <w:r>
            <w:rPr>
              <w:b/>
              <w:bCs/>
              <w:noProof/>
            </w:rPr>
            <w:fldChar w:fldCharType="end"/>
          </w:r>
        </w:p>
      </w:sdtContent>
    </w:sdt>
    <w:p w14:paraId="5150184B" w14:textId="77777777" w:rsidR="00C5406D" w:rsidRDefault="00C5406D" w:rsidP="00C5406D">
      <w:pPr>
        <w:jc w:val="center"/>
        <w:rPr>
          <w:b/>
          <w:bCs/>
          <w:sz w:val="36"/>
          <w:szCs w:val="40"/>
          <w:u w:val="single"/>
        </w:rPr>
      </w:pPr>
    </w:p>
    <w:p w14:paraId="4BB3DE9D" w14:textId="77777777" w:rsidR="00554576" w:rsidRDefault="00554576" w:rsidP="00C5406D">
      <w:pPr>
        <w:jc w:val="center"/>
        <w:rPr>
          <w:b/>
          <w:bCs/>
          <w:sz w:val="36"/>
          <w:szCs w:val="40"/>
          <w:u w:val="single"/>
        </w:rPr>
      </w:pPr>
    </w:p>
    <w:p w14:paraId="6491827D" w14:textId="77777777" w:rsidR="00554576" w:rsidRDefault="00554576" w:rsidP="00C5406D">
      <w:pPr>
        <w:jc w:val="center"/>
        <w:rPr>
          <w:b/>
          <w:bCs/>
          <w:sz w:val="36"/>
          <w:szCs w:val="40"/>
          <w:u w:val="single"/>
        </w:rPr>
      </w:pPr>
    </w:p>
    <w:p w14:paraId="1C1BD0DE" w14:textId="77777777" w:rsidR="00554576" w:rsidRDefault="00554576" w:rsidP="00C5406D">
      <w:pPr>
        <w:jc w:val="center"/>
        <w:rPr>
          <w:b/>
          <w:bCs/>
          <w:sz w:val="36"/>
          <w:szCs w:val="40"/>
          <w:u w:val="single"/>
        </w:rPr>
      </w:pPr>
    </w:p>
    <w:p w14:paraId="24FC86D8" w14:textId="77777777" w:rsidR="00554576" w:rsidRDefault="00554576" w:rsidP="00C5406D">
      <w:pPr>
        <w:jc w:val="center"/>
        <w:rPr>
          <w:b/>
          <w:bCs/>
          <w:sz w:val="36"/>
          <w:szCs w:val="40"/>
          <w:u w:val="single"/>
        </w:rPr>
      </w:pPr>
    </w:p>
    <w:p w14:paraId="6899EC9E" w14:textId="77777777" w:rsidR="00554576" w:rsidRDefault="00554576" w:rsidP="00C5406D">
      <w:pPr>
        <w:jc w:val="center"/>
        <w:rPr>
          <w:b/>
          <w:bCs/>
          <w:sz w:val="36"/>
          <w:szCs w:val="40"/>
          <w:u w:val="single"/>
        </w:rPr>
      </w:pPr>
    </w:p>
    <w:p w14:paraId="0CB7E374" w14:textId="77777777" w:rsidR="0076611C" w:rsidRDefault="0076611C" w:rsidP="006642D0">
      <w:pPr>
        <w:pStyle w:val="Heading1"/>
      </w:pPr>
      <w:bookmarkStart w:id="0" w:name="_Toc157507950"/>
    </w:p>
    <w:p w14:paraId="0CFC15A8" w14:textId="77777777" w:rsidR="0076611C" w:rsidRDefault="0076611C" w:rsidP="0076611C"/>
    <w:p w14:paraId="6F1539F0" w14:textId="77777777" w:rsidR="0048637B" w:rsidRDefault="0048637B" w:rsidP="0076611C"/>
    <w:p w14:paraId="3BC05DE9" w14:textId="77777777" w:rsidR="0048637B" w:rsidRDefault="0048637B" w:rsidP="0076611C"/>
    <w:p w14:paraId="60ABC91A" w14:textId="77777777" w:rsidR="0048637B" w:rsidRDefault="0048637B" w:rsidP="0076611C"/>
    <w:p w14:paraId="2478928A" w14:textId="77777777" w:rsidR="0076611C" w:rsidRDefault="0076611C" w:rsidP="0076611C"/>
    <w:p w14:paraId="0B4CFD2C" w14:textId="59CF9E63" w:rsidR="00192893" w:rsidRPr="00192893" w:rsidRDefault="00740F5A" w:rsidP="006642D0">
      <w:pPr>
        <w:pStyle w:val="Heading1"/>
      </w:pPr>
      <w:bookmarkStart w:id="1" w:name="_Toc211862855"/>
      <w:r>
        <w:lastRenderedPageBreak/>
        <w:t>LC Semester 2</w:t>
      </w:r>
      <w:bookmarkEnd w:id="0"/>
      <w:r>
        <w:t xml:space="preserve"> – </w:t>
      </w:r>
      <w:r w:rsidRPr="00890BEE">
        <w:t>20 C</w:t>
      </w:r>
      <w:r>
        <w:t>redit</w:t>
      </w:r>
      <w:r w:rsidRPr="00890BEE">
        <w:t xml:space="preserve"> M</w:t>
      </w:r>
      <w:r>
        <w:t>odules</w:t>
      </w:r>
      <w:bookmarkEnd w:id="1"/>
    </w:p>
    <w:tbl>
      <w:tblPr>
        <w:tblStyle w:val="TableGrid"/>
        <w:tblW w:w="0" w:type="auto"/>
        <w:tblLook w:val="04A0" w:firstRow="1" w:lastRow="0" w:firstColumn="1" w:lastColumn="0" w:noHBand="0" w:noVBand="1"/>
      </w:tblPr>
      <w:tblGrid>
        <w:gridCol w:w="9016"/>
      </w:tblGrid>
      <w:tr w:rsidR="00740F5A" w14:paraId="306D220A" w14:textId="77777777" w:rsidTr="00F521ED">
        <w:tc>
          <w:tcPr>
            <w:tcW w:w="9016" w:type="dxa"/>
          </w:tcPr>
          <w:p w14:paraId="2940A7AB" w14:textId="0F0135F5" w:rsidR="00740F5A" w:rsidRPr="00D319AE" w:rsidRDefault="005C2610" w:rsidP="00F521ED">
            <w:pPr>
              <w:spacing w:line="240" w:lineRule="auto"/>
              <w:rPr>
                <w:b/>
                <w:bCs/>
                <w:sz w:val="28"/>
                <w:szCs w:val="26"/>
              </w:rPr>
            </w:pPr>
            <w:r w:rsidRPr="005C2610">
              <w:rPr>
                <w:b/>
                <w:bCs/>
                <w:sz w:val="28"/>
                <w:szCs w:val="32"/>
              </w:rPr>
              <w:t xml:space="preserve">LC The Making of the Medieval World, 500-1050 </w:t>
            </w:r>
            <w:r w:rsidR="00740F5A" w:rsidRPr="00D319AE">
              <w:rPr>
                <w:b/>
                <w:bCs/>
                <w:sz w:val="28"/>
                <w:szCs w:val="32"/>
              </w:rPr>
              <w:t xml:space="preserve">– </w:t>
            </w:r>
            <w:r w:rsidR="00740F5A">
              <w:rPr>
                <w:b/>
                <w:bCs/>
                <w:sz w:val="28"/>
                <w:szCs w:val="32"/>
              </w:rPr>
              <w:t xml:space="preserve">Dr </w:t>
            </w:r>
            <w:r w:rsidR="007E55AE">
              <w:rPr>
                <w:b/>
                <w:bCs/>
                <w:sz w:val="28"/>
                <w:szCs w:val="32"/>
              </w:rPr>
              <w:t>Chris Callow</w:t>
            </w:r>
          </w:p>
        </w:tc>
      </w:tr>
      <w:tr w:rsidR="00C93ACA" w14:paraId="0B50EC80" w14:textId="77777777" w:rsidTr="00C24648">
        <w:trPr>
          <w:trHeight w:val="1036"/>
        </w:trPr>
        <w:tc>
          <w:tcPr>
            <w:tcW w:w="9016" w:type="dxa"/>
          </w:tcPr>
          <w:p w14:paraId="5A4226F3" w14:textId="77777777" w:rsidR="00C93ACA" w:rsidRPr="003E43C1" w:rsidRDefault="00C93ACA" w:rsidP="00F521ED">
            <w:pPr>
              <w:spacing w:line="240" w:lineRule="auto"/>
              <w:rPr>
                <w:b/>
                <w:bCs/>
                <w:sz w:val="24"/>
                <w:szCs w:val="28"/>
              </w:rPr>
            </w:pPr>
            <w:r>
              <w:rPr>
                <w:b/>
                <w:bCs/>
                <w:sz w:val="24"/>
                <w:szCs w:val="28"/>
              </w:rPr>
              <w:t>Module code: 29546</w:t>
            </w:r>
          </w:p>
          <w:p w14:paraId="3BFC8617" w14:textId="61B0E4B0" w:rsidR="00C93ACA" w:rsidRPr="003E43C1" w:rsidRDefault="00C93ACA" w:rsidP="00F521ED">
            <w:pPr>
              <w:spacing w:line="240" w:lineRule="auto"/>
              <w:rPr>
                <w:b/>
                <w:bCs/>
                <w:sz w:val="24"/>
                <w:szCs w:val="28"/>
              </w:rPr>
            </w:pPr>
            <w:r w:rsidRPr="003E43C1">
              <w:rPr>
                <w:b/>
                <w:bCs/>
                <w:sz w:val="24"/>
                <w:szCs w:val="28"/>
              </w:rPr>
              <w:t xml:space="preserve">Semester </w:t>
            </w:r>
            <w:r>
              <w:rPr>
                <w:b/>
                <w:bCs/>
                <w:sz w:val="24"/>
                <w:szCs w:val="28"/>
              </w:rPr>
              <w:t>2</w:t>
            </w:r>
          </w:p>
          <w:p w14:paraId="04A00E4A" w14:textId="36DD3183" w:rsidR="00C93ACA" w:rsidRPr="003E43C1" w:rsidRDefault="00C93ACA" w:rsidP="00F521ED">
            <w:pPr>
              <w:spacing w:line="240" w:lineRule="auto"/>
              <w:rPr>
                <w:b/>
                <w:bCs/>
                <w:sz w:val="24"/>
                <w:szCs w:val="28"/>
              </w:rPr>
            </w:pPr>
            <w:r w:rsidRPr="003E43C1">
              <w:rPr>
                <w:b/>
                <w:bCs/>
                <w:sz w:val="24"/>
                <w:szCs w:val="28"/>
              </w:rPr>
              <w:t>Credits:</w:t>
            </w:r>
            <w:r w:rsidRPr="00330B24">
              <w:rPr>
                <w:sz w:val="24"/>
                <w:szCs w:val="28"/>
              </w:rPr>
              <w:t xml:space="preserve"> </w:t>
            </w:r>
            <w:r w:rsidRPr="00A926F6">
              <w:rPr>
                <w:b/>
                <w:bCs/>
                <w:sz w:val="24"/>
                <w:szCs w:val="28"/>
              </w:rPr>
              <w:t>20</w:t>
            </w:r>
          </w:p>
        </w:tc>
      </w:tr>
      <w:tr w:rsidR="00740F5A" w14:paraId="3FF14A41" w14:textId="77777777" w:rsidTr="00F521ED">
        <w:tc>
          <w:tcPr>
            <w:tcW w:w="9016" w:type="dxa"/>
          </w:tcPr>
          <w:p w14:paraId="72E8C795" w14:textId="77777777" w:rsidR="00740F5A" w:rsidRPr="003E43C1" w:rsidRDefault="00740F5A" w:rsidP="00F521ED">
            <w:pPr>
              <w:spacing w:line="240" w:lineRule="auto"/>
              <w:rPr>
                <w:b/>
                <w:bCs/>
              </w:rPr>
            </w:pPr>
            <w:r w:rsidRPr="003E43C1">
              <w:rPr>
                <w:b/>
                <w:bCs/>
              </w:rPr>
              <w:t>Module Description:</w:t>
            </w:r>
          </w:p>
          <w:p w14:paraId="673D9105" w14:textId="3CA46002" w:rsidR="00740F5A" w:rsidRPr="003E43C1" w:rsidRDefault="002139ED" w:rsidP="00F521ED">
            <w:pPr>
              <w:spacing w:before="240" w:line="240" w:lineRule="auto"/>
              <w:rPr>
                <w:rFonts w:eastAsiaTheme="minorHAnsi"/>
              </w:rPr>
            </w:pPr>
            <w:r w:rsidRPr="00693AEC">
              <w:rPr>
                <w:rFonts w:eastAsiaTheme="minorHAnsi"/>
              </w:rPr>
              <w:t xml:space="preserve">This module aims to introduce students to a broad range of topics from the earlier part of the Middle Ages understood as part of global history, with a focus on staff areas of </w:t>
            </w:r>
            <w:proofErr w:type="gramStart"/>
            <w:r w:rsidRPr="00693AEC">
              <w:rPr>
                <w:rFonts w:eastAsiaTheme="minorHAnsi"/>
              </w:rPr>
              <w:t>particular expertise</w:t>
            </w:r>
            <w:proofErr w:type="gramEnd"/>
            <w:r w:rsidRPr="00693AEC">
              <w:rPr>
                <w:rFonts w:eastAsiaTheme="minorHAnsi"/>
              </w:rPr>
              <w:t xml:space="preserve"> in political, social-economic, religious, cultural history and material culture. The module will include introductions to topics taught as modules in Yr 2 and 3, each framed as a question about some person or concept with which students may be familiar. Students will examine these topics through lectures and analysis of relevant primary and secondary source material, including material culture, online resources and accessible locations, to gain first-hand experience of some of the issues involved in the scholarly study of this period.</w:t>
            </w:r>
          </w:p>
        </w:tc>
      </w:tr>
      <w:tr w:rsidR="00740F5A" w14:paraId="4FDDE69D" w14:textId="77777777" w:rsidTr="00F521ED">
        <w:tc>
          <w:tcPr>
            <w:tcW w:w="9016" w:type="dxa"/>
          </w:tcPr>
          <w:p w14:paraId="26BA667F" w14:textId="77777777" w:rsidR="00740F5A" w:rsidRPr="003E43C1" w:rsidRDefault="00740F5A" w:rsidP="00F521ED">
            <w:pPr>
              <w:spacing w:after="0" w:line="240" w:lineRule="auto"/>
              <w:rPr>
                <w:b/>
                <w:bCs/>
              </w:rPr>
            </w:pPr>
            <w:r w:rsidRPr="003E43C1">
              <w:rPr>
                <w:b/>
                <w:bCs/>
              </w:rPr>
              <w:t>Assessment:</w:t>
            </w:r>
          </w:p>
          <w:p w14:paraId="57FAE988" w14:textId="77777777" w:rsidR="00740F5A" w:rsidRDefault="00740F5A" w:rsidP="00F521ED">
            <w:pPr>
              <w:spacing w:before="240" w:line="240" w:lineRule="auto"/>
            </w:pPr>
            <w:r w:rsidRPr="001848AD">
              <w:t xml:space="preserve">1 x </w:t>
            </w:r>
            <w:r>
              <w:t>3,000-word Portfolio</w:t>
            </w:r>
            <w:r w:rsidRPr="001848AD">
              <w:t xml:space="preserve"> (100%)</w:t>
            </w:r>
          </w:p>
        </w:tc>
      </w:tr>
    </w:tbl>
    <w:p w14:paraId="0EE4F792" w14:textId="77777777" w:rsidR="00740F5A" w:rsidRPr="00BC1846" w:rsidRDefault="00740F5A" w:rsidP="00740F5A">
      <w:pPr>
        <w:spacing w:line="240" w:lineRule="auto"/>
      </w:pPr>
    </w:p>
    <w:tbl>
      <w:tblPr>
        <w:tblStyle w:val="TableGrid"/>
        <w:tblW w:w="0" w:type="auto"/>
        <w:tblLook w:val="04A0" w:firstRow="1" w:lastRow="0" w:firstColumn="1" w:lastColumn="0" w:noHBand="0" w:noVBand="1"/>
      </w:tblPr>
      <w:tblGrid>
        <w:gridCol w:w="9016"/>
      </w:tblGrid>
      <w:tr w:rsidR="00740F5A" w14:paraId="1CF77611" w14:textId="77777777" w:rsidTr="1EC76D2C">
        <w:tc>
          <w:tcPr>
            <w:tcW w:w="9016" w:type="dxa"/>
          </w:tcPr>
          <w:p w14:paraId="00FA4A0D" w14:textId="00A3AA7F" w:rsidR="00740F5A" w:rsidRPr="00C93ACA" w:rsidRDefault="00740F5A" w:rsidP="1EC76D2C">
            <w:pPr>
              <w:spacing w:line="240" w:lineRule="auto"/>
              <w:rPr>
                <w:b/>
                <w:bCs/>
                <w:sz w:val="28"/>
                <w:szCs w:val="28"/>
              </w:rPr>
            </w:pPr>
            <w:r w:rsidRPr="1EC76D2C">
              <w:rPr>
                <w:b/>
                <w:bCs/>
                <w:sz w:val="28"/>
                <w:szCs w:val="28"/>
              </w:rPr>
              <w:t xml:space="preserve">LC The History of Africa </w:t>
            </w:r>
            <w:r w:rsidR="00170446" w:rsidRPr="1EC76D2C">
              <w:rPr>
                <w:b/>
                <w:bCs/>
                <w:sz w:val="28"/>
                <w:szCs w:val="28"/>
              </w:rPr>
              <w:t>in a Global Context</w:t>
            </w:r>
            <w:r w:rsidRPr="1EC76D2C">
              <w:rPr>
                <w:b/>
                <w:bCs/>
                <w:sz w:val="28"/>
                <w:szCs w:val="28"/>
              </w:rPr>
              <w:t xml:space="preserve"> – Dr Courtney Campbell</w:t>
            </w:r>
          </w:p>
        </w:tc>
      </w:tr>
      <w:tr w:rsidR="00C93ACA" w14:paraId="530927B6" w14:textId="77777777" w:rsidTr="1EC76D2C">
        <w:trPr>
          <w:trHeight w:val="1036"/>
        </w:trPr>
        <w:tc>
          <w:tcPr>
            <w:tcW w:w="9016" w:type="dxa"/>
          </w:tcPr>
          <w:p w14:paraId="1025A3A0" w14:textId="77777777" w:rsidR="00C93ACA" w:rsidRPr="003E43C1" w:rsidRDefault="00C93ACA" w:rsidP="00F521ED">
            <w:pPr>
              <w:spacing w:line="240" w:lineRule="auto"/>
              <w:rPr>
                <w:b/>
                <w:bCs/>
                <w:sz w:val="24"/>
                <w:szCs w:val="28"/>
              </w:rPr>
            </w:pPr>
            <w:r>
              <w:rPr>
                <w:b/>
                <w:bCs/>
                <w:sz w:val="24"/>
                <w:szCs w:val="28"/>
              </w:rPr>
              <w:t>Module code: 36065</w:t>
            </w:r>
          </w:p>
          <w:p w14:paraId="775BA885" w14:textId="125CE0B8" w:rsidR="00C93ACA" w:rsidRPr="003E43C1" w:rsidRDefault="00C93ACA" w:rsidP="00F521ED">
            <w:pPr>
              <w:spacing w:line="240" w:lineRule="auto"/>
              <w:rPr>
                <w:b/>
                <w:bCs/>
                <w:sz w:val="24"/>
                <w:szCs w:val="28"/>
              </w:rPr>
            </w:pPr>
            <w:r w:rsidRPr="003E43C1">
              <w:rPr>
                <w:b/>
                <w:bCs/>
                <w:sz w:val="24"/>
                <w:szCs w:val="28"/>
              </w:rPr>
              <w:t xml:space="preserve">Semester </w:t>
            </w:r>
            <w:r>
              <w:rPr>
                <w:b/>
                <w:bCs/>
                <w:sz w:val="24"/>
                <w:szCs w:val="28"/>
              </w:rPr>
              <w:t>2</w:t>
            </w:r>
          </w:p>
          <w:p w14:paraId="323915E1" w14:textId="0F02EE1F" w:rsidR="00C93ACA" w:rsidRPr="003E43C1" w:rsidRDefault="00C93ACA" w:rsidP="00F521ED">
            <w:pPr>
              <w:spacing w:line="240" w:lineRule="auto"/>
              <w:rPr>
                <w:b/>
                <w:bCs/>
                <w:sz w:val="24"/>
                <w:szCs w:val="28"/>
              </w:rPr>
            </w:pPr>
            <w:r w:rsidRPr="003E43C1">
              <w:rPr>
                <w:b/>
                <w:bCs/>
                <w:sz w:val="24"/>
                <w:szCs w:val="28"/>
              </w:rPr>
              <w:t>Credits: 20</w:t>
            </w:r>
          </w:p>
        </w:tc>
      </w:tr>
      <w:tr w:rsidR="00740F5A" w14:paraId="2F3ACC32" w14:textId="77777777" w:rsidTr="1EC76D2C">
        <w:tc>
          <w:tcPr>
            <w:tcW w:w="9016" w:type="dxa"/>
          </w:tcPr>
          <w:p w14:paraId="59962918" w14:textId="77777777" w:rsidR="00740F5A" w:rsidRPr="003E43C1" w:rsidRDefault="00740F5A" w:rsidP="00F521ED">
            <w:pPr>
              <w:spacing w:line="240" w:lineRule="auto"/>
              <w:rPr>
                <w:b/>
                <w:bCs/>
              </w:rPr>
            </w:pPr>
            <w:r w:rsidRPr="003E43C1">
              <w:rPr>
                <w:b/>
                <w:bCs/>
              </w:rPr>
              <w:t>Module Description:</w:t>
            </w:r>
          </w:p>
          <w:p w14:paraId="70B37274" w14:textId="77777777" w:rsidR="00740F5A" w:rsidRPr="003E43C1" w:rsidRDefault="00740F5A" w:rsidP="00F521ED">
            <w:pPr>
              <w:spacing w:line="240" w:lineRule="auto"/>
              <w:rPr>
                <w:rFonts w:eastAsiaTheme="minorHAnsi"/>
              </w:rPr>
            </w:pPr>
            <w:r w:rsidRPr="005146D8">
              <w:rPr>
                <w:rFonts w:eastAsiaTheme="minorHAnsi"/>
              </w:rPr>
              <w:t xml:space="preserve">This module is a survey of the history of Africa and African diasporas. It introduces students to a study of Africa's deep and more recent past, highlighting migrations within, to and from the continent. The module has a broad geographical and chronological reach, locating Africa and Africans in global history. It seeks to widen students' understanding of sources and methods, and to introduce them to key concepts that will strengthen their ability to engage critically with history and memory. The modules </w:t>
            </w:r>
            <w:proofErr w:type="gramStart"/>
            <w:r w:rsidRPr="005146D8">
              <w:rPr>
                <w:rFonts w:eastAsiaTheme="minorHAnsi"/>
              </w:rPr>
              <w:t>covers</w:t>
            </w:r>
            <w:proofErr w:type="gramEnd"/>
            <w:r w:rsidRPr="005146D8">
              <w:rPr>
                <w:rFonts w:eastAsiaTheme="minorHAnsi"/>
              </w:rPr>
              <w:t xml:space="preserve"> a wide range of topics </w:t>
            </w:r>
            <w:proofErr w:type="gramStart"/>
            <w:r w:rsidRPr="005146D8">
              <w:rPr>
                <w:rFonts w:eastAsiaTheme="minorHAnsi"/>
              </w:rPr>
              <w:t>such as:</w:t>
            </w:r>
            <w:proofErr w:type="gramEnd"/>
            <w:r w:rsidRPr="005146D8">
              <w:rPr>
                <w:rFonts w:eastAsiaTheme="minorHAnsi"/>
              </w:rPr>
              <w:t xml:space="preserve"> early African urbanism, cosmopolitanism and commerce, voluntary and forced migrations, slavery and resistance, cultural exchange, religious beliefs and practices, and the nature and legacies of European imperialism. This broad, introductory survey module provides a foundation for future study of Africa and African diasporas.</w:t>
            </w:r>
          </w:p>
        </w:tc>
      </w:tr>
      <w:tr w:rsidR="00740F5A" w14:paraId="262DC2CE" w14:textId="77777777" w:rsidTr="1EC76D2C">
        <w:tc>
          <w:tcPr>
            <w:tcW w:w="9016" w:type="dxa"/>
          </w:tcPr>
          <w:p w14:paraId="7DB85DF9" w14:textId="77777777" w:rsidR="00740F5A" w:rsidRPr="003E43C1" w:rsidRDefault="00740F5A" w:rsidP="00F521ED">
            <w:pPr>
              <w:spacing w:after="0" w:line="240" w:lineRule="auto"/>
              <w:rPr>
                <w:b/>
                <w:bCs/>
              </w:rPr>
            </w:pPr>
            <w:r w:rsidRPr="003E43C1">
              <w:rPr>
                <w:b/>
                <w:bCs/>
              </w:rPr>
              <w:t>Assessment:</w:t>
            </w:r>
          </w:p>
          <w:p w14:paraId="24FA020F" w14:textId="77777777" w:rsidR="00740F5A" w:rsidRDefault="00740F5A" w:rsidP="00F521ED">
            <w:pPr>
              <w:spacing w:before="240" w:line="240" w:lineRule="auto"/>
            </w:pPr>
            <w:r w:rsidRPr="001848AD">
              <w:t xml:space="preserve">1 x </w:t>
            </w:r>
            <w:r>
              <w:t>3,000-word Portfolio</w:t>
            </w:r>
            <w:r w:rsidRPr="001848AD">
              <w:t xml:space="preserve"> (100%)</w:t>
            </w:r>
          </w:p>
        </w:tc>
      </w:tr>
    </w:tbl>
    <w:p w14:paraId="34F5E6D6" w14:textId="73EAA7ED" w:rsidR="00DA1F0B" w:rsidRDefault="00374BAD" w:rsidP="00DA1F0B">
      <w:pPr>
        <w:pStyle w:val="Heading1"/>
      </w:pPr>
      <w:bookmarkStart w:id="2" w:name="_Toc211862856"/>
      <w:r>
        <w:lastRenderedPageBreak/>
        <w:t xml:space="preserve">LI </w:t>
      </w:r>
      <w:r w:rsidR="00DA1F0B" w:rsidRPr="004F611B">
        <w:t>Semester</w:t>
      </w:r>
      <w:r w:rsidR="00DA1F0B" w:rsidRPr="0087179C">
        <w:t xml:space="preserve"> 2</w:t>
      </w:r>
      <w:r w:rsidR="00320970">
        <w:t xml:space="preserve"> - </w:t>
      </w:r>
      <w:r w:rsidR="00DA1F0B" w:rsidRPr="00890BEE">
        <w:t>20 C</w:t>
      </w:r>
      <w:r w:rsidR="00DA1F0B">
        <w:t>redit</w:t>
      </w:r>
      <w:r w:rsidR="00DA1F0B" w:rsidRPr="00890BEE">
        <w:t xml:space="preserve"> </w:t>
      </w:r>
      <w:r w:rsidR="00DA1F0B">
        <w:t>Modules</w:t>
      </w:r>
      <w:bookmarkEnd w:id="2"/>
    </w:p>
    <w:p w14:paraId="47C63253" w14:textId="5E5549A3" w:rsidR="00A869D2" w:rsidRPr="0076611C" w:rsidRDefault="00FC1DA5" w:rsidP="0076611C">
      <w:pPr>
        <w:rPr>
          <w:i/>
          <w:iCs/>
          <w:sz w:val="24"/>
          <w:szCs w:val="28"/>
        </w:rPr>
      </w:pPr>
      <w:r w:rsidRPr="00FC1DA5">
        <w:rPr>
          <w:i/>
          <w:iCs/>
          <w:sz w:val="24"/>
          <w:szCs w:val="28"/>
        </w:rPr>
        <w:t>Due to timetabling constraints, students can only pick one 20 credit LI module per Semester.</w:t>
      </w:r>
    </w:p>
    <w:tbl>
      <w:tblPr>
        <w:tblStyle w:val="TableGrid"/>
        <w:tblW w:w="0" w:type="auto"/>
        <w:tblLook w:val="04A0" w:firstRow="1" w:lastRow="0" w:firstColumn="1" w:lastColumn="0" w:noHBand="0" w:noVBand="1"/>
      </w:tblPr>
      <w:tblGrid>
        <w:gridCol w:w="9016"/>
      </w:tblGrid>
      <w:tr w:rsidR="00463AA1" w14:paraId="76182D5F" w14:textId="77777777" w:rsidTr="005A2528">
        <w:tc>
          <w:tcPr>
            <w:tcW w:w="9016" w:type="dxa"/>
          </w:tcPr>
          <w:p w14:paraId="4C04FAD9" w14:textId="77777777" w:rsidR="00463AA1" w:rsidRPr="00D319AE" w:rsidRDefault="00463AA1" w:rsidP="005A2528">
            <w:pPr>
              <w:spacing w:line="240" w:lineRule="auto"/>
              <w:rPr>
                <w:b/>
                <w:bCs/>
                <w:sz w:val="28"/>
                <w:szCs w:val="26"/>
              </w:rPr>
            </w:pPr>
            <w:r w:rsidRPr="00313C13">
              <w:rPr>
                <w:b/>
                <w:bCs/>
                <w:sz w:val="28"/>
                <w:szCs w:val="32"/>
              </w:rPr>
              <w:t xml:space="preserve">LI </w:t>
            </w:r>
            <w:r>
              <w:rPr>
                <w:b/>
                <w:bCs/>
                <w:sz w:val="28"/>
                <w:szCs w:val="32"/>
              </w:rPr>
              <w:t xml:space="preserve">Modern Britain </w:t>
            </w:r>
            <w:proofErr w:type="gramStart"/>
            <w:r>
              <w:rPr>
                <w:b/>
                <w:bCs/>
                <w:sz w:val="28"/>
                <w:szCs w:val="32"/>
              </w:rPr>
              <w:t>From</w:t>
            </w:r>
            <w:proofErr w:type="gramEnd"/>
            <w:r>
              <w:rPr>
                <w:b/>
                <w:bCs/>
                <w:sz w:val="28"/>
                <w:szCs w:val="32"/>
              </w:rPr>
              <w:t xml:space="preserve"> the Margins</w:t>
            </w:r>
            <w:r w:rsidRPr="00313C13">
              <w:rPr>
                <w:b/>
                <w:bCs/>
                <w:sz w:val="28"/>
                <w:szCs w:val="32"/>
              </w:rPr>
              <w:t xml:space="preserve"> – Dr </w:t>
            </w:r>
            <w:r>
              <w:rPr>
                <w:b/>
                <w:bCs/>
                <w:sz w:val="28"/>
                <w:szCs w:val="32"/>
              </w:rPr>
              <w:t>Amy Matthewson</w:t>
            </w:r>
            <w:r w:rsidRPr="00313C13">
              <w:rPr>
                <w:b/>
                <w:bCs/>
                <w:sz w:val="28"/>
                <w:szCs w:val="32"/>
              </w:rPr>
              <w:t xml:space="preserve"> (38</w:t>
            </w:r>
            <w:r>
              <w:rPr>
                <w:b/>
                <w:bCs/>
                <w:sz w:val="28"/>
                <w:szCs w:val="32"/>
              </w:rPr>
              <w:t>264</w:t>
            </w:r>
            <w:r w:rsidRPr="00313C13">
              <w:rPr>
                <w:b/>
                <w:bCs/>
                <w:sz w:val="28"/>
                <w:szCs w:val="32"/>
              </w:rPr>
              <w:t>)</w:t>
            </w:r>
          </w:p>
        </w:tc>
      </w:tr>
      <w:tr w:rsidR="00C93ACA" w14:paraId="275885C8" w14:textId="77777777" w:rsidTr="004D02E5">
        <w:tc>
          <w:tcPr>
            <w:tcW w:w="9016" w:type="dxa"/>
          </w:tcPr>
          <w:p w14:paraId="5B3CCA3D" w14:textId="77777777" w:rsidR="00C93ACA" w:rsidRPr="003E43C1" w:rsidRDefault="00C93ACA" w:rsidP="005A2528">
            <w:pPr>
              <w:spacing w:line="240" w:lineRule="auto"/>
              <w:rPr>
                <w:b/>
                <w:bCs/>
                <w:sz w:val="24"/>
                <w:szCs w:val="28"/>
              </w:rPr>
            </w:pPr>
            <w:r w:rsidRPr="003E43C1">
              <w:rPr>
                <w:b/>
                <w:bCs/>
                <w:sz w:val="24"/>
                <w:szCs w:val="28"/>
              </w:rPr>
              <w:t xml:space="preserve">Semester </w:t>
            </w:r>
            <w:r>
              <w:rPr>
                <w:b/>
                <w:bCs/>
                <w:sz w:val="24"/>
                <w:szCs w:val="28"/>
              </w:rPr>
              <w:t>2</w:t>
            </w:r>
          </w:p>
          <w:p w14:paraId="22FB8CE2" w14:textId="2941C55A" w:rsidR="00C93ACA" w:rsidRPr="003E43C1" w:rsidRDefault="00C93ACA" w:rsidP="005A2528">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463AA1" w14:paraId="1AC830FD" w14:textId="77777777" w:rsidTr="005A2528">
        <w:tc>
          <w:tcPr>
            <w:tcW w:w="9016" w:type="dxa"/>
          </w:tcPr>
          <w:p w14:paraId="0A110EAB" w14:textId="77777777" w:rsidR="00463AA1" w:rsidRPr="003E43C1" w:rsidRDefault="00463AA1" w:rsidP="005A2528">
            <w:pPr>
              <w:spacing w:line="240" w:lineRule="auto"/>
              <w:rPr>
                <w:b/>
                <w:bCs/>
              </w:rPr>
            </w:pPr>
            <w:r w:rsidRPr="003E43C1">
              <w:rPr>
                <w:b/>
                <w:bCs/>
              </w:rPr>
              <w:t>Module Description:</w:t>
            </w:r>
          </w:p>
          <w:p w14:paraId="4B6C74C3" w14:textId="77777777" w:rsidR="00463AA1" w:rsidRPr="003E43C1" w:rsidRDefault="00463AA1" w:rsidP="005A2528">
            <w:pPr>
              <w:spacing w:before="240"/>
              <w:rPr>
                <w:rFonts w:eastAsiaTheme="minorHAnsi"/>
              </w:rPr>
            </w:pPr>
            <w:r w:rsidRPr="00930069">
              <w:rPr>
                <w:rFonts w:eastAsiaTheme="minorHAnsi"/>
              </w:rPr>
              <w:t xml:space="preserve">This is a survey of 19th and 20th century British history that introduces core historical problems (industrialization, democratization, identity, empire &amp; decolonization) by centring perspectives that have traditionally been marginalized. It asks: how does British history look from different perspectives? What is Britain, and who counts as British? Considering Britain as an imperial formation, it focuses on a series of ‘marginal’ perspectives, including Celtic, migrant, and non-metropolitan perspectives, </w:t>
            </w:r>
            <w:proofErr w:type="gramStart"/>
            <w:r w:rsidRPr="00930069">
              <w:rPr>
                <w:rFonts w:eastAsiaTheme="minorHAnsi"/>
              </w:rPr>
              <w:t>in order to</w:t>
            </w:r>
            <w:proofErr w:type="gramEnd"/>
            <w:r w:rsidRPr="00930069">
              <w:rPr>
                <w:rFonts w:eastAsiaTheme="minorHAnsi"/>
              </w:rPr>
              <w:t xml:space="preserve"> re-examine the core historical issues of the nineteenth and twentieth centuries.</w:t>
            </w:r>
          </w:p>
        </w:tc>
      </w:tr>
      <w:tr w:rsidR="00463AA1" w14:paraId="05906D98" w14:textId="77777777" w:rsidTr="005A2528">
        <w:tc>
          <w:tcPr>
            <w:tcW w:w="9016" w:type="dxa"/>
          </w:tcPr>
          <w:p w14:paraId="0D0C0CB7" w14:textId="77777777" w:rsidR="00463AA1" w:rsidRPr="003E43C1" w:rsidRDefault="00463AA1" w:rsidP="005A2528">
            <w:pPr>
              <w:spacing w:line="240" w:lineRule="auto"/>
              <w:rPr>
                <w:b/>
                <w:bCs/>
              </w:rPr>
            </w:pPr>
            <w:r w:rsidRPr="003E43C1">
              <w:rPr>
                <w:b/>
                <w:bCs/>
              </w:rPr>
              <w:t>Assessment:</w:t>
            </w:r>
          </w:p>
          <w:p w14:paraId="225081CE" w14:textId="3DF553BB" w:rsidR="00463AA1" w:rsidRPr="003E43C1" w:rsidRDefault="00F50EB1" w:rsidP="005A2528">
            <w:pPr>
              <w:spacing w:line="240" w:lineRule="auto"/>
              <w:rPr>
                <w:b/>
                <w:bCs/>
              </w:rPr>
            </w:pPr>
            <w:r w:rsidRPr="00A2345B">
              <w:t xml:space="preserve">1 x </w:t>
            </w:r>
            <w:r w:rsidR="00BF3C5F" w:rsidRPr="00A2345B">
              <w:t>3,000-word</w:t>
            </w:r>
            <w:r w:rsidRPr="00A2345B">
              <w:t xml:space="preserve"> </w:t>
            </w:r>
            <w:r>
              <w:t xml:space="preserve">Portfolio </w:t>
            </w:r>
            <w:r w:rsidRPr="00A2345B">
              <w:t>(100%)</w:t>
            </w:r>
          </w:p>
        </w:tc>
      </w:tr>
    </w:tbl>
    <w:p w14:paraId="10C904B6" w14:textId="77777777" w:rsidR="00463AA1" w:rsidRDefault="00463AA1" w:rsidP="00463AA1">
      <w:pPr>
        <w:spacing w:line="240" w:lineRule="auto"/>
      </w:pPr>
    </w:p>
    <w:tbl>
      <w:tblPr>
        <w:tblStyle w:val="TableGrid"/>
        <w:tblW w:w="0" w:type="auto"/>
        <w:tblLook w:val="04A0" w:firstRow="1" w:lastRow="0" w:firstColumn="1" w:lastColumn="0" w:noHBand="0" w:noVBand="1"/>
      </w:tblPr>
      <w:tblGrid>
        <w:gridCol w:w="9016"/>
      </w:tblGrid>
      <w:tr w:rsidR="00463AA1" w14:paraId="7C0AB37F" w14:textId="77777777" w:rsidTr="005A2528">
        <w:tc>
          <w:tcPr>
            <w:tcW w:w="9016" w:type="dxa"/>
          </w:tcPr>
          <w:p w14:paraId="0AC67F34" w14:textId="77777777" w:rsidR="00463AA1" w:rsidRPr="00D319AE" w:rsidRDefault="00463AA1" w:rsidP="005A2528">
            <w:pPr>
              <w:spacing w:line="240" w:lineRule="auto"/>
              <w:rPr>
                <w:b/>
                <w:bCs/>
                <w:sz w:val="28"/>
                <w:szCs w:val="26"/>
              </w:rPr>
            </w:pPr>
            <w:r w:rsidRPr="001D5A38">
              <w:rPr>
                <w:b/>
                <w:bCs/>
                <w:sz w:val="28"/>
                <w:szCs w:val="32"/>
              </w:rPr>
              <w:t xml:space="preserve">LI Option: Radical Pieties: Militants, Martyrs and Mystics in Medieval Christianity and Islam </w:t>
            </w:r>
            <w:r w:rsidRPr="00313C13">
              <w:rPr>
                <w:b/>
                <w:bCs/>
                <w:sz w:val="28"/>
                <w:szCs w:val="32"/>
              </w:rPr>
              <w:t>(38</w:t>
            </w:r>
            <w:r>
              <w:rPr>
                <w:b/>
                <w:bCs/>
                <w:sz w:val="28"/>
                <w:szCs w:val="32"/>
              </w:rPr>
              <w:t>266</w:t>
            </w:r>
            <w:r w:rsidRPr="00313C13">
              <w:rPr>
                <w:b/>
                <w:bCs/>
                <w:sz w:val="28"/>
                <w:szCs w:val="32"/>
              </w:rPr>
              <w:t>)</w:t>
            </w:r>
          </w:p>
        </w:tc>
      </w:tr>
      <w:tr w:rsidR="00C93ACA" w14:paraId="1711A382" w14:textId="77777777" w:rsidTr="00B01596">
        <w:tc>
          <w:tcPr>
            <w:tcW w:w="9016" w:type="dxa"/>
          </w:tcPr>
          <w:p w14:paraId="4BD3D0A1" w14:textId="77777777" w:rsidR="00C93ACA" w:rsidRPr="003E43C1" w:rsidRDefault="00C93ACA" w:rsidP="005A2528">
            <w:pPr>
              <w:spacing w:line="240" w:lineRule="auto"/>
              <w:rPr>
                <w:b/>
                <w:bCs/>
                <w:sz w:val="24"/>
                <w:szCs w:val="28"/>
              </w:rPr>
            </w:pPr>
            <w:r w:rsidRPr="003E43C1">
              <w:rPr>
                <w:b/>
                <w:bCs/>
                <w:sz w:val="24"/>
                <w:szCs w:val="28"/>
              </w:rPr>
              <w:t xml:space="preserve">Semester </w:t>
            </w:r>
            <w:r>
              <w:rPr>
                <w:b/>
                <w:bCs/>
                <w:sz w:val="24"/>
                <w:szCs w:val="28"/>
              </w:rPr>
              <w:t>2</w:t>
            </w:r>
          </w:p>
          <w:p w14:paraId="0D01BF39" w14:textId="5D02B482" w:rsidR="00C93ACA" w:rsidRPr="003E43C1" w:rsidRDefault="00C93ACA" w:rsidP="005A2528">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463AA1" w14:paraId="036CCFCF" w14:textId="77777777" w:rsidTr="005A2528">
        <w:tc>
          <w:tcPr>
            <w:tcW w:w="9016" w:type="dxa"/>
          </w:tcPr>
          <w:p w14:paraId="1ABA75BD" w14:textId="77777777" w:rsidR="00463AA1" w:rsidRPr="003E43C1" w:rsidRDefault="00463AA1" w:rsidP="005A2528">
            <w:pPr>
              <w:spacing w:line="240" w:lineRule="auto"/>
              <w:rPr>
                <w:b/>
                <w:bCs/>
              </w:rPr>
            </w:pPr>
            <w:r w:rsidRPr="003E43C1">
              <w:rPr>
                <w:b/>
                <w:bCs/>
              </w:rPr>
              <w:t>Module Description:</w:t>
            </w:r>
          </w:p>
          <w:p w14:paraId="7E43A062" w14:textId="77777777" w:rsidR="00463AA1" w:rsidRPr="003E43C1" w:rsidRDefault="00463AA1" w:rsidP="005A2528">
            <w:pPr>
              <w:spacing w:before="240"/>
              <w:rPr>
                <w:rFonts w:eastAsiaTheme="minorHAnsi"/>
              </w:rPr>
            </w:pPr>
            <w:r w:rsidRPr="00ED5703">
              <w:rPr>
                <w:rFonts w:eastAsiaTheme="minorHAnsi"/>
              </w:rPr>
              <w:t xml:space="preserve">This module explores the innovative modes of religious expression that developed within Christianity and Islam between 300 CE and 1250 CE. During this period, Christians and Muslims sought solitary or communal retreats from worldliness (e.g. eremitism, monasticism, Sufism), fought and/or died for their faith (e.g. through martyrdom, jihad, or crusade), and embraced various punitive forms of bodily suffering (e.g. extreme fasting, body-marking, mortification of the flesh). Frequently, such lived religious practices existed in tandem. Through a series of case studies drawn from the Near East, Western Europe and the Mediterranean, we shall consider why people were attracted to these practices and ask to what extent these devotions remained radical </w:t>
            </w:r>
            <w:r w:rsidRPr="00ED5703">
              <w:rPr>
                <w:rFonts w:eastAsiaTheme="minorHAnsi"/>
              </w:rPr>
              <w:lastRenderedPageBreak/>
              <w:t>or became embedded in mainstream religious culture. We shall probe the common links between Christians and Muslims to ask whether these practices developed more frequently in dialogue, in parallel, through competition or conflict.</w:t>
            </w:r>
          </w:p>
        </w:tc>
      </w:tr>
      <w:tr w:rsidR="00463AA1" w14:paraId="46B6A484" w14:textId="77777777" w:rsidTr="005A2528">
        <w:tc>
          <w:tcPr>
            <w:tcW w:w="9016" w:type="dxa"/>
          </w:tcPr>
          <w:p w14:paraId="006CE396" w14:textId="77777777" w:rsidR="00463AA1" w:rsidRPr="003E43C1" w:rsidRDefault="00463AA1" w:rsidP="005A2528">
            <w:pPr>
              <w:spacing w:line="240" w:lineRule="auto"/>
              <w:rPr>
                <w:b/>
                <w:bCs/>
              </w:rPr>
            </w:pPr>
            <w:r w:rsidRPr="003E43C1">
              <w:rPr>
                <w:b/>
                <w:bCs/>
              </w:rPr>
              <w:lastRenderedPageBreak/>
              <w:t>Assessment:</w:t>
            </w:r>
          </w:p>
          <w:p w14:paraId="6C63AB7C" w14:textId="38312C10" w:rsidR="00463AA1" w:rsidRPr="003E43C1" w:rsidRDefault="00F50EB1" w:rsidP="005A2528">
            <w:pPr>
              <w:spacing w:line="240" w:lineRule="auto"/>
              <w:rPr>
                <w:b/>
                <w:bCs/>
              </w:rPr>
            </w:pPr>
            <w:r w:rsidRPr="00A2345B">
              <w:t xml:space="preserve">1 x </w:t>
            </w:r>
            <w:r w:rsidR="00BF3C5F" w:rsidRPr="00A2345B">
              <w:t>3,000-word</w:t>
            </w:r>
            <w:r w:rsidRPr="00A2345B">
              <w:t xml:space="preserve"> </w:t>
            </w:r>
            <w:r>
              <w:t xml:space="preserve">Portfolio </w:t>
            </w:r>
            <w:r w:rsidRPr="00A2345B">
              <w:t>(100%)</w:t>
            </w:r>
          </w:p>
        </w:tc>
      </w:tr>
    </w:tbl>
    <w:p w14:paraId="67D233B1" w14:textId="77777777" w:rsidR="00463AA1" w:rsidRDefault="00463AA1" w:rsidP="00463AA1">
      <w:pPr>
        <w:spacing w:line="240" w:lineRule="auto"/>
      </w:pPr>
    </w:p>
    <w:tbl>
      <w:tblPr>
        <w:tblStyle w:val="TableGrid"/>
        <w:tblW w:w="0" w:type="auto"/>
        <w:tblLook w:val="04A0" w:firstRow="1" w:lastRow="0" w:firstColumn="1" w:lastColumn="0" w:noHBand="0" w:noVBand="1"/>
      </w:tblPr>
      <w:tblGrid>
        <w:gridCol w:w="9016"/>
      </w:tblGrid>
      <w:tr w:rsidR="00463AA1" w:rsidRPr="00D319AE" w14:paraId="15591353" w14:textId="77777777" w:rsidTr="005A2528">
        <w:tc>
          <w:tcPr>
            <w:tcW w:w="9016" w:type="dxa"/>
          </w:tcPr>
          <w:p w14:paraId="0616020B" w14:textId="77777777" w:rsidR="00463AA1" w:rsidRPr="00D319AE" w:rsidRDefault="00463AA1" w:rsidP="005A2528">
            <w:pPr>
              <w:spacing w:line="240" w:lineRule="auto"/>
              <w:rPr>
                <w:b/>
                <w:bCs/>
                <w:sz w:val="28"/>
                <w:szCs w:val="26"/>
              </w:rPr>
            </w:pPr>
            <w:r w:rsidRPr="002A1105">
              <w:rPr>
                <w:b/>
                <w:bCs/>
                <w:sz w:val="28"/>
                <w:szCs w:val="32"/>
              </w:rPr>
              <w:t xml:space="preserve">LI Option: Saints and Sinners: Heroes, Villains, and ‘Influencers’ in Britain and Europe, 800-1800 </w:t>
            </w:r>
            <w:r w:rsidRPr="00A2345B">
              <w:rPr>
                <w:b/>
                <w:bCs/>
                <w:sz w:val="28"/>
                <w:szCs w:val="32"/>
              </w:rPr>
              <w:t>(</w:t>
            </w:r>
            <w:r>
              <w:rPr>
                <w:b/>
                <w:bCs/>
                <w:sz w:val="28"/>
                <w:szCs w:val="32"/>
              </w:rPr>
              <w:t>40777</w:t>
            </w:r>
            <w:r w:rsidRPr="00A2345B">
              <w:rPr>
                <w:b/>
                <w:bCs/>
                <w:sz w:val="28"/>
                <w:szCs w:val="32"/>
              </w:rPr>
              <w:t>)</w:t>
            </w:r>
          </w:p>
        </w:tc>
      </w:tr>
      <w:tr w:rsidR="00C93ACA" w:rsidRPr="003E43C1" w14:paraId="0A438490" w14:textId="77777777" w:rsidTr="00351525">
        <w:tc>
          <w:tcPr>
            <w:tcW w:w="9016" w:type="dxa"/>
          </w:tcPr>
          <w:p w14:paraId="63222B0A" w14:textId="77777777" w:rsidR="00C93ACA" w:rsidRPr="003E43C1" w:rsidRDefault="00C93ACA" w:rsidP="005A2528">
            <w:pPr>
              <w:spacing w:line="240" w:lineRule="auto"/>
              <w:rPr>
                <w:b/>
                <w:bCs/>
                <w:sz w:val="24"/>
                <w:szCs w:val="28"/>
              </w:rPr>
            </w:pPr>
            <w:r w:rsidRPr="003E43C1">
              <w:rPr>
                <w:b/>
                <w:bCs/>
                <w:sz w:val="24"/>
                <w:szCs w:val="28"/>
              </w:rPr>
              <w:t xml:space="preserve">Semester </w:t>
            </w:r>
            <w:r>
              <w:rPr>
                <w:b/>
                <w:bCs/>
                <w:sz w:val="24"/>
                <w:szCs w:val="28"/>
              </w:rPr>
              <w:t>2</w:t>
            </w:r>
          </w:p>
          <w:p w14:paraId="63DF5818" w14:textId="5C7DDA07" w:rsidR="00C93ACA" w:rsidRPr="003E43C1" w:rsidRDefault="00C93ACA" w:rsidP="005A2528">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463AA1" w:rsidRPr="003E43C1" w14:paraId="1EA1C390" w14:textId="77777777" w:rsidTr="005A2528">
        <w:tc>
          <w:tcPr>
            <w:tcW w:w="9016" w:type="dxa"/>
          </w:tcPr>
          <w:p w14:paraId="5B4134BE" w14:textId="77777777" w:rsidR="00463AA1" w:rsidRPr="003E43C1" w:rsidRDefault="00463AA1" w:rsidP="005A2528">
            <w:pPr>
              <w:spacing w:line="240" w:lineRule="auto"/>
              <w:rPr>
                <w:b/>
                <w:bCs/>
              </w:rPr>
            </w:pPr>
            <w:r w:rsidRPr="003E43C1">
              <w:rPr>
                <w:b/>
                <w:bCs/>
              </w:rPr>
              <w:t>Module Description:</w:t>
            </w:r>
          </w:p>
          <w:p w14:paraId="6F915235" w14:textId="77777777" w:rsidR="00463AA1" w:rsidRPr="008638FC" w:rsidRDefault="00463AA1" w:rsidP="005A2528">
            <w:pPr>
              <w:rPr>
                <w:bCs/>
              </w:rPr>
            </w:pPr>
            <w:r w:rsidRPr="008638FC">
              <w:rPr>
                <w:bCs/>
              </w:rPr>
              <w:t xml:space="preserve">This innovative module delves into the rich (and often tumultuous) history of premodern Britain and Europe (c.800-1800), exploring the lives and legacies of some of the men and women who helped to shape the societies in which they lived in profound ways, simultaneously placing these individuals in context while problematising a ‘Great Man’ approach to the past. From heroic leaders and revered religious figures to infamous villains and notorious sinners, this </w:t>
            </w:r>
            <w:proofErr w:type="gramStart"/>
            <w:r w:rsidRPr="008638FC">
              <w:rPr>
                <w:bCs/>
              </w:rPr>
              <w:t>second year</w:t>
            </w:r>
            <w:proofErr w:type="gramEnd"/>
            <w:r w:rsidRPr="008638FC">
              <w:rPr>
                <w:bCs/>
              </w:rPr>
              <w:t xml:space="preserve"> option examines the complex interplay between morality, power, influence, and popular culture in the medieval and early modern worlds. </w:t>
            </w:r>
          </w:p>
          <w:p w14:paraId="350BBEC1" w14:textId="77777777" w:rsidR="00463AA1" w:rsidRPr="003E43C1" w:rsidRDefault="00463AA1" w:rsidP="005A2528">
            <w:pPr>
              <w:rPr>
                <w:rFonts w:eastAsiaTheme="minorHAnsi"/>
              </w:rPr>
            </w:pPr>
            <w:r w:rsidRPr="008638FC">
              <w:rPr>
                <w:bCs/>
              </w:rPr>
              <w:t>The case studies covered by the module will vary according to staff availability and research and teaching expertise, but key themes and topics include a range of political, military and religious leaders; influencers and power-brokers; and notorious criminals (case studies might include, for example, St Thomas Becket, Joan of Arc, Martin Luther, Elizabeth I, Nostradamus, Oliver Cromwell, Dick Turpin, Mary Toft). We also consider the ways in which individuals depicted in contemporary and historical narratives could be portrayed and perceived as either heroes or villains, depending on the perspective(s) of author and audience. We will engage with a variety of different historiographical approaches, as well as analysing a wide range of primary sources, including letters, diaries, histories, political and legal documents, images, and objects, to gain a nuanced understanding of their lives and legacies.</w:t>
            </w:r>
          </w:p>
        </w:tc>
      </w:tr>
      <w:tr w:rsidR="00463AA1" w:rsidRPr="003E43C1" w14:paraId="6F65C0A7" w14:textId="77777777" w:rsidTr="005A2528">
        <w:tc>
          <w:tcPr>
            <w:tcW w:w="9016" w:type="dxa"/>
          </w:tcPr>
          <w:p w14:paraId="3ED82FCC" w14:textId="77777777" w:rsidR="00463AA1" w:rsidRPr="003E43C1" w:rsidRDefault="00463AA1" w:rsidP="005A2528">
            <w:pPr>
              <w:spacing w:line="240" w:lineRule="auto"/>
              <w:rPr>
                <w:b/>
                <w:bCs/>
              </w:rPr>
            </w:pPr>
            <w:r w:rsidRPr="003E43C1">
              <w:rPr>
                <w:b/>
                <w:bCs/>
              </w:rPr>
              <w:t>Assessment:</w:t>
            </w:r>
          </w:p>
          <w:p w14:paraId="06AE7FB4" w14:textId="72D96A92" w:rsidR="00463AA1" w:rsidRPr="003E43C1" w:rsidRDefault="00F50EB1" w:rsidP="005A2528">
            <w:pPr>
              <w:spacing w:line="240" w:lineRule="auto"/>
              <w:rPr>
                <w:b/>
                <w:bCs/>
              </w:rPr>
            </w:pPr>
            <w:r w:rsidRPr="00A2345B">
              <w:t xml:space="preserve">1 x </w:t>
            </w:r>
            <w:r w:rsidR="00BF3C5F" w:rsidRPr="00A2345B">
              <w:t>3,000-word</w:t>
            </w:r>
            <w:r w:rsidRPr="00A2345B">
              <w:t xml:space="preserve"> </w:t>
            </w:r>
            <w:r>
              <w:t xml:space="preserve">Portfolio </w:t>
            </w:r>
            <w:r w:rsidRPr="00A2345B">
              <w:t>(100%)</w:t>
            </w:r>
          </w:p>
        </w:tc>
      </w:tr>
    </w:tbl>
    <w:p w14:paraId="3E24340E" w14:textId="77777777" w:rsidR="004E4131" w:rsidRDefault="004E4131" w:rsidP="00A869D2">
      <w:pPr>
        <w:spacing w:line="240" w:lineRule="auto"/>
      </w:pPr>
    </w:p>
    <w:tbl>
      <w:tblPr>
        <w:tblStyle w:val="TableGrid"/>
        <w:tblW w:w="0" w:type="auto"/>
        <w:tblLook w:val="04A0" w:firstRow="1" w:lastRow="0" w:firstColumn="1" w:lastColumn="0" w:noHBand="0" w:noVBand="1"/>
      </w:tblPr>
      <w:tblGrid>
        <w:gridCol w:w="9016"/>
      </w:tblGrid>
      <w:tr w:rsidR="00A869D2" w14:paraId="16EBD5D4" w14:textId="77777777" w:rsidTr="00557ACA">
        <w:tc>
          <w:tcPr>
            <w:tcW w:w="9016" w:type="dxa"/>
          </w:tcPr>
          <w:p w14:paraId="098037DD" w14:textId="095D0707" w:rsidR="00A869D2" w:rsidRPr="00D319AE" w:rsidRDefault="00A869D2" w:rsidP="00557ACA">
            <w:pPr>
              <w:spacing w:line="240" w:lineRule="auto"/>
              <w:rPr>
                <w:b/>
                <w:bCs/>
                <w:sz w:val="28"/>
                <w:szCs w:val="26"/>
              </w:rPr>
            </w:pPr>
            <w:r w:rsidRPr="00A869D2">
              <w:rPr>
                <w:b/>
                <w:bCs/>
                <w:sz w:val="28"/>
                <w:szCs w:val="32"/>
              </w:rPr>
              <w:lastRenderedPageBreak/>
              <w:t>LI There is Black in the Union Jack: Black and South Asian British Histories – Dr Shamima Aktar (38271)</w:t>
            </w:r>
          </w:p>
        </w:tc>
      </w:tr>
      <w:tr w:rsidR="00C93ACA" w14:paraId="788B7C17" w14:textId="77777777" w:rsidTr="00AA0DE7">
        <w:tc>
          <w:tcPr>
            <w:tcW w:w="9016" w:type="dxa"/>
          </w:tcPr>
          <w:p w14:paraId="66819D4C" w14:textId="77777777" w:rsidR="00C93ACA" w:rsidRPr="003E43C1" w:rsidRDefault="00C93ACA" w:rsidP="00557ACA">
            <w:pPr>
              <w:spacing w:line="240" w:lineRule="auto"/>
              <w:rPr>
                <w:b/>
                <w:bCs/>
                <w:sz w:val="24"/>
                <w:szCs w:val="28"/>
              </w:rPr>
            </w:pPr>
            <w:r w:rsidRPr="003E43C1">
              <w:rPr>
                <w:b/>
                <w:bCs/>
                <w:sz w:val="24"/>
                <w:szCs w:val="28"/>
              </w:rPr>
              <w:t xml:space="preserve">Semester </w:t>
            </w:r>
            <w:r>
              <w:rPr>
                <w:b/>
                <w:bCs/>
                <w:sz w:val="24"/>
                <w:szCs w:val="28"/>
              </w:rPr>
              <w:t>2</w:t>
            </w:r>
          </w:p>
          <w:p w14:paraId="1EE955C0" w14:textId="080FF048" w:rsidR="00C93ACA" w:rsidRPr="003E43C1" w:rsidRDefault="00C93ACA" w:rsidP="00557ACA">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A869D2" w14:paraId="3533D6E5" w14:textId="77777777" w:rsidTr="00557ACA">
        <w:tc>
          <w:tcPr>
            <w:tcW w:w="9016" w:type="dxa"/>
          </w:tcPr>
          <w:p w14:paraId="1A247A4A" w14:textId="77777777" w:rsidR="00A869D2" w:rsidRPr="003E43C1" w:rsidRDefault="00A869D2" w:rsidP="00557ACA">
            <w:pPr>
              <w:spacing w:line="240" w:lineRule="auto"/>
              <w:rPr>
                <w:b/>
                <w:bCs/>
              </w:rPr>
            </w:pPr>
            <w:r w:rsidRPr="003E43C1">
              <w:rPr>
                <w:b/>
                <w:bCs/>
              </w:rPr>
              <w:t>Module Description:</w:t>
            </w:r>
          </w:p>
          <w:p w14:paraId="002F649F" w14:textId="051D5363" w:rsidR="00A869D2" w:rsidRPr="003E43C1" w:rsidRDefault="00A869D2" w:rsidP="00557ACA">
            <w:pPr>
              <w:rPr>
                <w:rFonts w:eastAsiaTheme="minorHAnsi"/>
              </w:rPr>
            </w:pPr>
            <w:r w:rsidRPr="00C74081">
              <w:rPr>
                <w:rFonts w:eastAsiaTheme="minorHAnsi"/>
              </w:rPr>
              <w:t xml:space="preserve">In recent years, people have become increasingly dissatisfied with the ways in which British history has been taught, from schools to universities. Numerous reports have shown that many people regard the histories that they have encountered as narrowly focused and with little to say about important topics such as empire or migration. Recently, the BBC’s landmark series Black and British: A Forgotten History, and the accompanying book by David Olusoga, and Yasmin Khan’s documentaries on South Asian migration have brought these histories to new audiences and generations. Likewise, Rosina Visram’s Asians in Britain (2002) documents four centuries of migration and settlement to Britain that are often overlooked. This module builds on these works and broader interest to focus on widely neglected histories of Black and South Asian Britons. The module does not assume any prior knowledge and would be suitable for a wide range of interests. For instance, it might be of particular interest if you want to explore your own family history, potentially do a dissertation on these topics or teach on these topics in the future.  Topics are subject to change. However, at the moment, the course covers: early presences; servants, lascars (sailors) and ayahs (nannies) in Georgian Britain; abolition and compensation for enslavers in Victorian Britain; empire on show in the imperial metropolis; Commonwealth soldiers in the two world wars; post-WWII immigration and social life, including Windrush and South Asian immigration from Africa and Asia; twentieth-century citizenship, immigration controls and the Windrush Scandal; racism, race relations, and antiracism; activists and intellectuals, including Black feminisms, and, finally, and decolonizing British history and heritage in the present day. The three core text for the option are Peter Fryer, Staying Power: The History of Black People in Britain (1984), David Olusoga, Black and British: A Forgotten History (2016) and Rosina Visram, Asians in Britain (2002). If you want to get a sense of the history we will cover or do any preliminary reading, check out these. You do not have to buy any books, but if you would like to do so buy Fryer and </w:t>
            </w:r>
            <w:proofErr w:type="spellStart"/>
            <w:r w:rsidRPr="00C74081">
              <w:rPr>
                <w:rFonts w:eastAsiaTheme="minorHAnsi"/>
              </w:rPr>
              <w:t>Olusoga</w:t>
            </w:r>
            <w:proofErr w:type="spellEnd"/>
            <w:r w:rsidRPr="00C74081">
              <w:rPr>
                <w:rFonts w:eastAsiaTheme="minorHAnsi"/>
              </w:rPr>
              <w:t>. Visram is available as an e-book from the library.</w:t>
            </w:r>
          </w:p>
        </w:tc>
      </w:tr>
      <w:tr w:rsidR="00A869D2" w14:paraId="359CE734" w14:textId="77777777" w:rsidTr="00557ACA">
        <w:tc>
          <w:tcPr>
            <w:tcW w:w="9016" w:type="dxa"/>
          </w:tcPr>
          <w:p w14:paraId="20C7CC56" w14:textId="77777777" w:rsidR="00A869D2" w:rsidRPr="003E43C1" w:rsidRDefault="00A869D2" w:rsidP="00557ACA">
            <w:pPr>
              <w:spacing w:line="240" w:lineRule="auto"/>
              <w:rPr>
                <w:b/>
                <w:bCs/>
              </w:rPr>
            </w:pPr>
            <w:r w:rsidRPr="003E43C1">
              <w:rPr>
                <w:b/>
                <w:bCs/>
              </w:rPr>
              <w:t>Assessment:</w:t>
            </w:r>
          </w:p>
          <w:p w14:paraId="2BF6C97F" w14:textId="683E08CA" w:rsidR="00A869D2" w:rsidRPr="003E43C1" w:rsidRDefault="00A869D2" w:rsidP="00557ACA">
            <w:pPr>
              <w:spacing w:line="240" w:lineRule="auto"/>
              <w:rPr>
                <w:b/>
                <w:bCs/>
              </w:rPr>
            </w:pPr>
            <w:r w:rsidRPr="00A2345B">
              <w:t xml:space="preserve">1 x </w:t>
            </w:r>
            <w:r w:rsidR="00BF3C5F" w:rsidRPr="00A2345B">
              <w:t>3,000-word</w:t>
            </w:r>
            <w:r w:rsidRPr="00A2345B">
              <w:t xml:space="preserve"> </w:t>
            </w:r>
            <w:r w:rsidR="00F50EB1">
              <w:t>Portfolio</w:t>
            </w:r>
            <w:r>
              <w:t xml:space="preserve"> </w:t>
            </w:r>
            <w:r w:rsidRPr="00A2345B">
              <w:t>(100%)</w:t>
            </w:r>
          </w:p>
        </w:tc>
      </w:tr>
    </w:tbl>
    <w:p w14:paraId="14E35705" w14:textId="77777777" w:rsidR="009C641D" w:rsidRDefault="009C641D" w:rsidP="009C641D">
      <w:pPr>
        <w:spacing w:line="240" w:lineRule="auto"/>
      </w:pPr>
    </w:p>
    <w:p w14:paraId="2585C3CF" w14:textId="5DC62E74" w:rsidR="00323283" w:rsidRDefault="00323283" w:rsidP="594CA49A">
      <w:pPr>
        <w:pStyle w:val="Heading1"/>
      </w:pPr>
      <w:bookmarkStart w:id="3" w:name="_Toc158300239"/>
      <w:bookmarkStart w:id="4" w:name="_Toc211862857"/>
      <w:r>
        <w:lastRenderedPageBreak/>
        <w:t xml:space="preserve">LH </w:t>
      </w:r>
      <w:r w:rsidR="009C641D">
        <w:t>Semester 2 - 20 Credit Optional Modules</w:t>
      </w:r>
      <w:bookmarkEnd w:id="3"/>
      <w:bookmarkEnd w:id="4"/>
    </w:p>
    <w:p w14:paraId="2AA7A45C" w14:textId="427C3455" w:rsidR="22C5611E" w:rsidRDefault="22C5611E" w:rsidP="594CA49A">
      <w:pPr>
        <w:rPr>
          <w:i/>
          <w:iCs/>
          <w:sz w:val="24"/>
        </w:rPr>
      </w:pPr>
      <w:r w:rsidRPr="594CA49A">
        <w:rPr>
          <w:i/>
          <w:iCs/>
          <w:sz w:val="24"/>
        </w:rPr>
        <w:t>Due to timetabling constraints, students can only pick one 20 credit LH module per Semester.</w:t>
      </w:r>
    </w:p>
    <w:tbl>
      <w:tblPr>
        <w:tblStyle w:val="TableGrid"/>
        <w:tblW w:w="0" w:type="auto"/>
        <w:tblLook w:val="04A0" w:firstRow="1" w:lastRow="0" w:firstColumn="1" w:lastColumn="0" w:noHBand="0" w:noVBand="1"/>
      </w:tblPr>
      <w:tblGrid>
        <w:gridCol w:w="9016"/>
      </w:tblGrid>
      <w:tr w:rsidR="009C641D" w14:paraId="23827424" w14:textId="77777777" w:rsidTr="00F521ED">
        <w:tc>
          <w:tcPr>
            <w:tcW w:w="9016" w:type="dxa"/>
          </w:tcPr>
          <w:p w14:paraId="61FC34CC" w14:textId="77777777" w:rsidR="009C641D" w:rsidRPr="00D319AE" w:rsidRDefault="009C641D" w:rsidP="00F521ED">
            <w:pPr>
              <w:spacing w:line="240" w:lineRule="auto"/>
              <w:rPr>
                <w:b/>
                <w:bCs/>
                <w:sz w:val="28"/>
                <w:szCs w:val="26"/>
              </w:rPr>
            </w:pPr>
            <w:r w:rsidRPr="002654EB">
              <w:rPr>
                <w:b/>
                <w:bCs/>
                <w:sz w:val="28"/>
                <w:szCs w:val="32"/>
              </w:rPr>
              <w:t xml:space="preserve">LH Black </w:t>
            </w:r>
            <w:proofErr w:type="spellStart"/>
            <w:r w:rsidRPr="002654EB">
              <w:rPr>
                <w:b/>
                <w:bCs/>
                <w:sz w:val="28"/>
                <w:szCs w:val="32"/>
              </w:rPr>
              <w:t>Activisms</w:t>
            </w:r>
            <w:proofErr w:type="spellEnd"/>
            <w:r w:rsidRPr="002654EB">
              <w:rPr>
                <w:b/>
                <w:bCs/>
                <w:sz w:val="28"/>
                <w:szCs w:val="32"/>
              </w:rPr>
              <w:t xml:space="preserve"> in the US South: Power, Feminisms, and Black Lives Mattering from 1960-present– Dr La Shonda Mims (39783)</w:t>
            </w:r>
          </w:p>
        </w:tc>
      </w:tr>
      <w:tr w:rsidR="00C93ACA" w14:paraId="5872F548" w14:textId="77777777" w:rsidTr="007972E8">
        <w:tc>
          <w:tcPr>
            <w:tcW w:w="9016" w:type="dxa"/>
          </w:tcPr>
          <w:p w14:paraId="75AA7092" w14:textId="77777777" w:rsidR="00C93ACA" w:rsidRPr="003E43C1" w:rsidRDefault="00C93ACA" w:rsidP="00F521ED">
            <w:pPr>
              <w:spacing w:line="240" w:lineRule="auto"/>
              <w:rPr>
                <w:b/>
                <w:bCs/>
                <w:sz w:val="24"/>
                <w:szCs w:val="28"/>
              </w:rPr>
            </w:pPr>
            <w:r w:rsidRPr="003E43C1">
              <w:rPr>
                <w:b/>
                <w:bCs/>
                <w:sz w:val="24"/>
                <w:szCs w:val="28"/>
              </w:rPr>
              <w:t xml:space="preserve">Semester </w:t>
            </w:r>
            <w:r>
              <w:rPr>
                <w:b/>
                <w:bCs/>
                <w:sz w:val="24"/>
                <w:szCs w:val="28"/>
              </w:rPr>
              <w:t>2</w:t>
            </w:r>
          </w:p>
          <w:p w14:paraId="605282DB" w14:textId="0ED7537C" w:rsidR="00C93ACA" w:rsidRPr="003E43C1" w:rsidRDefault="00C93ACA" w:rsidP="00F521ED">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9C641D" w14:paraId="69E7D194" w14:textId="77777777" w:rsidTr="00F521ED">
        <w:tc>
          <w:tcPr>
            <w:tcW w:w="9016" w:type="dxa"/>
          </w:tcPr>
          <w:p w14:paraId="4D38B04F" w14:textId="77777777" w:rsidR="009C641D" w:rsidRPr="003E43C1" w:rsidRDefault="009C641D" w:rsidP="00F521ED">
            <w:pPr>
              <w:spacing w:line="240" w:lineRule="auto"/>
              <w:rPr>
                <w:b/>
                <w:bCs/>
              </w:rPr>
            </w:pPr>
            <w:r w:rsidRPr="003E43C1">
              <w:rPr>
                <w:b/>
                <w:bCs/>
              </w:rPr>
              <w:t>Module Description:</w:t>
            </w:r>
          </w:p>
          <w:p w14:paraId="12D0A8C9" w14:textId="77777777" w:rsidR="009C641D" w:rsidRPr="00BC3865" w:rsidRDefault="009C641D" w:rsidP="00F521ED">
            <w:pPr>
              <w:rPr>
                <w:bCs/>
                <w:noProof/>
              </w:rPr>
            </w:pPr>
            <w:r w:rsidRPr="002654EB">
              <w:rPr>
                <w:bCs/>
                <w:noProof/>
              </w:rPr>
              <w:t>This course will explore Black social movements from the 1960s to the present day, asking questions such as: "What leads to the energy behind Black Lives Matter in the 21st century?" We will consider how US southerners responded to a seemingly successful Civil Rights Movement that ultimately led to Black Americans being left behind in the late 20th century economic boom. Our discussions will focus on understanding the motivations behind activist organizing through an examination of primary documents written by Black Power leaders and Black feminists in the same era. Debating issues like the urban crisis in US industrial cities and comparing that to the supposed newness of the US South after major Civil Rights legislation, we will examine what defines success in a social movement. Taking up police brutality, we will investigate the beating of Rodney King in 1990s Los Angeles, the rise of mass incarceration, and the explosion of Black murders as a result of violent policing. Debating cultural touchstones in the 21st century, like the creative activism of Beyonce´ and the queer feminism behind #MeToo and Black Lives Matter, we will engage The 1619 Project as a tool to understand how scholars and politicians pushed back against the public discourse surrounding Black history.</w:t>
            </w:r>
          </w:p>
        </w:tc>
      </w:tr>
      <w:tr w:rsidR="009C641D" w14:paraId="0C9B701B" w14:textId="77777777" w:rsidTr="00F521ED">
        <w:tc>
          <w:tcPr>
            <w:tcW w:w="9016" w:type="dxa"/>
          </w:tcPr>
          <w:p w14:paraId="7D5FFB32" w14:textId="77777777" w:rsidR="009C641D" w:rsidRPr="003E43C1" w:rsidRDefault="009C641D" w:rsidP="00F521ED">
            <w:pPr>
              <w:spacing w:line="240" w:lineRule="auto"/>
              <w:rPr>
                <w:b/>
                <w:bCs/>
              </w:rPr>
            </w:pPr>
            <w:r w:rsidRPr="003E43C1">
              <w:rPr>
                <w:b/>
                <w:bCs/>
              </w:rPr>
              <w:t>Assessment:</w:t>
            </w:r>
          </w:p>
          <w:p w14:paraId="6634A499" w14:textId="075E6466" w:rsidR="009C641D" w:rsidRDefault="009C641D" w:rsidP="00F521ED">
            <w:pPr>
              <w:spacing w:line="240" w:lineRule="auto"/>
            </w:pPr>
            <w:r w:rsidRPr="00A2345B">
              <w:t xml:space="preserve">1 x </w:t>
            </w:r>
            <w:r w:rsidR="009F6585" w:rsidRPr="00A2345B">
              <w:t>3,000-word</w:t>
            </w:r>
            <w:r w:rsidRPr="00A2345B">
              <w:t xml:space="preserve"> </w:t>
            </w:r>
            <w:r w:rsidR="009F6585">
              <w:t>Portfolio</w:t>
            </w:r>
            <w:r>
              <w:t xml:space="preserve"> </w:t>
            </w:r>
            <w:r w:rsidRPr="00A2345B">
              <w:t>(100%)</w:t>
            </w:r>
          </w:p>
        </w:tc>
      </w:tr>
    </w:tbl>
    <w:p w14:paraId="00D56F44" w14:textId="77777777" w:rsidR="009C641D" w:rsidRDefault="009C641D" w:rsidP="009C641D">
      <w:pPr>
        <w:spacing w:line="240" w:lineRule="auto"/>
      </w:pPr>
    </w:p>
    <w:tbl>
      <w:tblPr>
        <w:tblStyle w:val="TableGrid"/>
        <w:tblW w:w="0" w:type="auto"/>
        <w:tblLook w:val="04A0" w:firstRow="1" w:lastRow="0" w:firstColumn="1" w:lastColumn="0" w:noHBand="0" w:noVBand="1"/>
      </w:tblPr>
      <w:tblGrid>
        <w:gridCol w:w="9016"/>
      </w:tblGrid>
      <w:tr w:rsidR="009D6E75" w14:paraId="757242D7" w14:textId="77777777" w:rsidTr="005A2528">
        <w:tc>
          <w:tcPr>
            <w:tcW w:w="9016" w:type="dxa"/>
          </w:tcPr>
          <w:p w14:paraId="34427AEA" w14:textId="77777777" w:rsidR="009D6E75" w:rsidRPr="00D319AE" w:rsidRDefault="009D6E75" w:rsidP="005A2528">
            <w:pPr>
              <w:spacing w:line="240" w:lineRule="auto"/>
              <w:rPr>
                <w:b/>
                <w:bCs/>
                <w:sz w:val="28"/>
                <w:szCs w:val="26"/>
              </w:rPr>
            </w:pPr>
            <w:r w:rsidRPr="00BC3865">
              <w:rPr>
                <w:b/>
                <w:bCs/>
                <w:sz w:val="28"/>
                <w:szCs w:val="32"/>
              </w:rPr>
              <w:t>LH Britain and her Soldiers: Society and the Army from the First World War to Afghanistan – Prof Jonathan Boff (38800)</w:t>
            </w:r>
          </w:p>
        </w:tc>
      </w:tr>
      <w:tr w:rsidR="00C93ACA" w14:paraId="3BABC3CD" w14:textId="77777777" w:rsidTr="00E33EB6">
        <w:tc>
          <w:tcPr>
            <w:tcW w:w="9016" w:type="dxa"/>
          </w:tcPr>
          <w:p w14:paraId="6D312252" w14:textId="77777777" w:rsidR="00C93ACA" w:rsidRPr="003E43C1" w:rsidRDefault="00C93ACA" w:rsidP="005A2528">
            <w:pPr>
              <w:spacing w:line="240" w:lineRule="auto"/>
              <w:rPr>
                <w:b/>
                <w:bCs/>
                <w:sz w:val="24"/>
                <w:szCs w:val="28"/>
              </w:rPr>
            </w:pPr>
            <w:r w:rsidRPr="003E43C1">
              <w:rPr>
                <w:b/>
                <w:bCs/>
                <w:sz w:val="24"/>
                <w:szCs w:val="28"/>
              </w:rPr>
              <w:t>Semester 1</w:t>
            </w:r>
          </w:p>
          <w:p w14:paraId="7C5A9FA7" w14:textId="17D54E7F" w:rsidR="00C93ACA" w:rsidRPr="003E43C1" w:rsidRDefault="00C93ACA" w:rsidP="005A2528">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9D6E75" w14:paraId="672BB7DA" w14:textId="77777777" w:rsidTr="005A2528">
        <w:tc>
          <w:tcPr>
            <w:tcW w:w="9016" w:type="dxa"/>
          </w:tcPr>
          <w:p w14:paraId="47836C4F" w14:textId="77777777" w:rsidR="009D6E75" w:rsidRPr="003E43C1" w:rsidRDefault="009D6E75" w:rsidP="005A2528">
            <w:pPr>
              <w:spacing w:line="240" w:lineRule="auto"/>
              <w:rPr>
                <w:b/>
                <w:bCs/>
              </w:rPr>
            </w:pPr>
            <w:r w:rsidRPr="003E43C1">
              <w:rPr>
                <w:b/>
                <w:bCs/>
              </w:rPr>
              <w:t>Module Description:</w:t>
            </w:r>
          </w:p>
          <w:p w14:paraId="17DEEE90" w14:textId="77777777" w:rsidR="009D6E75" w:rsidRPr="00AC096C" w:rsidRDefault="009D6E75" w:rsidP="005A2528">
            <w:pPr>
              <w:rPr>
                <w:rFonts w:eastAsiaTheme="minorHAnsi"/>
              </w:rPr>
            </w:pPr>
            <w:r w:rsidRPr="00AC096C">
              <w:rPr>
                <w:rFonts w:eastAsiaTheme="minorHAnsi"/>
              </w:rPr>
              <w:lastRenderedPageBreak/>
              <w:t xml:space="preserve">Studying the history of the relationship between Britain and her soldiers since 1900 allows us to trace the development and impact of one of the country's central institutions, and to explore the clash between old and new that characterises much of Britain's modern history in microcosm. We focus </w:t>
            </w:r>
            <w:proofErr w:type="gramStart"/>
            <w:r w:rsidRPr="00AC096C">
              <w:rPr>
                <w:rFonts w:eastAsiaTheme="minorHAnsi"/>
              </w:rPr>
              <w:t>in particular on</w:t>
            </w:r>
            <w:proofErr w:type="gramEnd"/>
            <w:r w:rsidRPr="00AC096C">
              <w:rPr>
                <w:rFonts w:eastAsiaTheme="minorHAnsi"/>
              </w:rPr>
              <w:t xml:space="preserve"> five main questions:</w:t>
            </w:r>
          </w:p>
          <w:p w14:paraId="5E72D850" w14:textId="77777777" w:rsidR="009D6E75" w:rsidRPr="00AC096C" w:rsidRDefault="009D6E75" w:rsidP="005A2528">
            <w:pPr>
              <w:spacing w:after="0"/>
              <w:rPr>
                <w:rFonts w:eastAsiaTheme="minorHAnsi"/>
              </w:rPr>
            </w:pPr>
            <w:r w:rsidRPr="00AC096C">
              <w:rPr>
                <w:rFonts w:eastAsiaTheme="minorHAnsi"/>
              </w:rPr>
              <w:t>1) What roles did the Army fill?</w:t>
            </w:r>
          </w:p>
          <w:p w14:paraId="76E15245" w14:textId="77777777" w:rsidR="009D6E75" w:rsidRPr="00AC096C" w:rsidRDefault="009D6E75" w:rsidP="005A2528">
            <w:pPr>
              <w:spacing w:after="0"/>
              <w:rPr>
                <w:rFonts w:eastAsiaTheme="minorHAnsi"/>
              </w:rPr>
            </w:pPr>
            <w:r w:rsidRPr="00AC096C">
              <w:rPr>
                <w:rFonts w:eastAsiaTheme="minorHAnsi"/>
              </w:rPr>
              <w:t>2) Who served?</w:t>
            </w:r>
          </w:p>
          <w:p w14:paraId="3D1E1FC5" w14:textId="77777777" w:rsidR="009D6E75" w:rsidRPr="00AC096C" w:rsidRDefault="009D6E75" w:rsidP="005A2528">
            <w:pPr>
              <w:spacing w:after="0"/>
              <w:rPr>
                <w:rFonts w:eastAsiaTheme="minorHAnsi"/>
              </w:rPr>
            </w:pPr>
            <w:r w:rsidRPr="00AC096C">
              <w:rPr>
                <w:rFonts w:eastAsiaTheme="minorHAnsi"/>
              </w:rPr>
              <w:t>3) Why did they do so?</w:t>
            </w:r>
          </w:p>
          <w:p w14:paraId="47B5A866" w14:textId="77777777" w:rsidR="009D6E75" w:rsidRPr="00AC096C" w:rsidRDefault="009D6E75" w:rsidP="005A2528">
            <w:pPr>
              <w:spacing w:after="0"/>
              <w:rPr>
                <w:rFonts w:eastAsiaTheme="minorHAnsi"/>
              </w:rPr>
            </w:pPr>
            <w:r w:rsidRPr="00AC096C">
              <w:rPr>
                <w:rFonts w:eastAsiaTheme="minorHAnsi"/>
              </w:rPr>
              <w:t>4) How did society's attitudes to the Army evolve?</w:t>
            </w:r>
          </w:p>
          <w:p w14:paraId="1F0A371C" w14:textId="77777777" w:rsidR="009D6E75" w:rsidRPr="00AC096C" w:rsidRDefault="009D6E75" w:rsidP="005A2528">
            <w:pPr>
              <w:rPr>
                <w:rFonts w:eastAsiaTheme="minorHAnsi"/>
              </w:rPr>
            </w:pPr>
            <w:r w:rsidRPr="00AC096C">
              <w:rPr>
                <w:rFonts w:eastAsiaTheme="minorHAnsi"/>
              </w:rPr>
              <w:t>5) how did the Army affect British society and culture?</w:t>
            </w:r>
          </w:p>
          <w:p w14:paraId="65F0EFC8" w14:textId="77777777" w:rsidR="009D6E75" w:rsidRPr="00BC3865" w:rsidRDefault="009D6E75" w:rsidP="005A2528">
            <w:pPr>
              <w:rPr>
                <w:rFonts w:eastAsiaTheme="minorHAnsi"/>
              </w:rPr>
            </w:pPr>
            <w:r w:rsidRPr="00AC096C">
              <w:rPr>
                <w:rFonts w:eastAsiaTheme="minorHAnsi"/>
              </w:rPr>
              <w:t>Official documents and newspapers; personal letters and diaries; poetry, movies and pop music: all will help us uncover the political, social, cultural and human stories of the men and women from all over the world who served in the land forces of the Crown and thus let us explore the modern history of Britain at home and in the world.</w:t>
            </w:r>
          </w:p>
        </w:tc>
      </w:tr>
      <w:tr w:rsidR="009D6E75" w14:paraId="770870C1" w14:textId="77777777" w:rsidTr="005A2528">
        <w:tc>
          <w:tcPr>
            <w:tcW w:w="9016" w:type="dxa"/>
          </w:tcPr>
          <w:p w14:paraId="13390B20" w14:textId="77777777" w:rsidR="009D6E75" w:rsidRPr="003E43C1" w:rsidRDefault="009D6E75" w:rsidP="005A2528">
            <w:pPr>
              <w:spacing w:line="240" w:lineRule="auto"/>
              <w:rPr>
                <w:b/>
                <w:bCs/>
              </w:rPr>
            </w:pPr>
            <w:r w:rsidRPr="003E43C1">
              <w:rPr>
                <w:b/>
                <w:bCs/>
              </w:rPr>
              <w:lastRenderedPageBreak/>
              <w:t>Assessment:</w:t>
            </w:r>
          </w:p>
          <w:p w14:paraId="0E6C97CE" w14:textId="6042D802" w:rsidR="009D6E75" w:rsidRDefault="009F6585" w:rsidP="005A2528">
            <w:pPr>
              <w:spacing w:line="240" w:lineRule="auto"/>
            </w:pPr>
            <w:r w:rsidRPr="00A2345B">
              <w:t xml:space="preserve">1 x 3,000-word </w:t>
            </w:r>
            <w:r>
              <w:t xml:space="preserve">Portfolio </w:t>
            </w:r>
            <w:r w:rsidRPr="00A2345B">
              <w:t>(100%)</w:t>
            </w:r>
          </w:p>
        </w:tc>
      </w:tr>
    </w:tbl>
    <w:p w14:paraId="3B022E5A" w14:textId="77777777" w:rsidR="009D6E75" w:rsidRDefault="009D6E75" w:rsidP="009C641D">
      <w:pPr>
        <w:spacing w:line="240" w:lineRule="auto"/>
      </w:pPr>
    </w:p>
    <w:tbl>
      <w:tblPr>
        <w:tblStyle w:val="TableGrid"/>
        <w:tblW w:w="0" w:type="auto"/>
        <w:tblLook w:val="04A0" w:firstRow="1" w:lastRow="0" w:firstColumn="1" w:lastColumn="0" w:noHBand="0" w:noVBand="1"/>
      </w:tblPr>
      <w:tblGrid>
        <w:gridCol w:w="9016"/>
      </w:tblGrid>
      <w:tr w:rsidR="005916D5" w:rsidRPr="00D319AE" w14:paraId="74DDEA23" w14:textId="77777777" w:rsidTr="005A2528">
        <w:tc>
          <w:tcPr>
            <w:tcW w:w="9016" w:type="dxa"/>
          </w:tcPr>
          <w:p w14:paraId="191C7C6C" w14:textId="77777777" w:rsidR="005916D5" w:rsidRPr="00D319AE" w:rsidRDefault="005916D5" w:rsidP="005A2528">
            <w:pPr>
              <w:spacing w:line="240" w:lineRule="auto"/>
              <w:rPr>
                <w:b/>
                <w:bCs/>
                <w:sz w:val="28"/>
                <w:szCs w:val="26"/>
              </w:rPr>
            </w:pPr>
            <w:r w:rsidRPr="00BC3865">
              <w:rPr>
                <w:b/>
                <w:bCs/>
                <w:sz w:val="28"/>
                <w:szCs w:val="32"/>
              </w:rPr>
              <w:t>L</w:t>
            </w:r>
            <w:r w:rsidRPr="002A2A8C">
              <w:rPr>
                <w:b/>
                <w:bCs/>
                <w:sz w:val="28"/>
                <w:szCs w:val="32"/>
              </w:rPr>
              <w:t xml:space="preserve">H Advanced Option: Conflict in the Modern Middle East </w:t>
            </w:r>
            <w:r>
              <w:rPr>
                <w:b/>
                <w:bCs/>
                <w:sz w:val="28"/>
                <w:szCs w:val="32"/>
              </w:rPr>
              <w:t xml:space="preserve">– Steve Morewood </w:t>
            </w:r>
            <w:r w:rsidRPr="00BC3865">
              <w:rPr>
                <w:b/>
                <w:bCs/>
                <w:sz w:val="28"/>
                <w:szCs w:val="32"/>
              </w:rPr>
              <w:t>(</w:t>
            </w:r>
            <w:r>
              <w:rPr>
                <w:b/>
                <w:bCs/>
                <w:sz w:val="28"/>
                <w:szCs w:val="32"/>
              </w:rPr>
              <w:t>38743</w:t>
            </w:r>
            <w:r w:rsidRPr="00BC3865">
              <w:rPr>
                <w:b/>
                <w:bCs/>
                <w:sz w:val="28"/>
                <w:szCs w:val="32"/>
              </w:rPr>
              <w:t>)</w:t>
            </w:r>
          </w:p>
        </w:tc>
      </w:tr>
      <w:tr w:rsidR="00C93ACA" w:rsidRPr="003E43C1" w14:paraId="7FD6D8A8" w14:textId="77777777" w:rsidTr="009A76DC">
        <w:tc>
          <w:tcPr>
            <w:tcW w:w="9016" w:type="dxa"/>
          </w:tcPr>
          <w:p w14:paraId="5FD777AE" w14:textId="77777777" w:rsidR="00C93ACA" w:rsidRPr="003E43C1" w:rsidRDefault="00C93ACA" w:rsidP="005A2528">
            <w:pPr>
              <w:spacing w:line="240" w:lineRule="auto"/>
              <w:rPr>
                <w:b/>
                <w:bCs/>
                <w:sz w:val="24"/>
                <w:szCs w:val="28"/>
              </w:rPr>
            </w:pPr>
            <w:r w:rsidRPr="003E43C1">
              <w:rPr>
                <w:b/>
                <w:bCs/>
                <w:sz w:val="24"/>
                <w:szCs w:val="28"/>
              </w:rPr>
              <w:t xml:space="preserve">Semester </w:t>
            </w:r>
            <w:r>
              <w:rPr>
                <w:b/>
                <w:bCs/>
                <w:sz w:val="24"/>
                <w:szCs w:val="28"/>
              </w:rPr>
              <w:t>2</w:t>
            </w:r>
          </w:p>
          <w:p w14:paraId="52541C84" w14:textId="38884BFA" w:rsidR="00C93ACA" w:rsidRPr="003E43C1" w:rsidRDefault="00C93ACA" w:rsidP="005A2528">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5916D5" w:rsidRPr="003E43C1" w14:paraId="0EC58F51" w14:textId="77777777" w:rsidTr="005A2528">
        <w:tc>
          <w:tcPr>
            <w:tcW w:w="9016" w:type="dxa"/>
          </w:tcPr>
          <w:p w14:paraId="70428F21" w14:textId="77777777" w:rsidR="005916D5" w:rsidRPr="003E43C1" w:rsidRDefault="005916D5" w:rsidP="005A2528">
            <w:pPr>
              <w:spacing w:line="240" w:lineRule="auto"/>
              <w:rPr>
                <w:b/>
                <w:bCs/>
              </w:rPr>
            </w:pPr>
            <w:r w:rsidRPr="003E43C1">
              <w:rPr>
                <w:b/>
                <w:bCs/>
              </w:rPr>
              <w:t>Module Description:</w:t>
            </w:r>
          </w:p>
          <w:p w14:paraId="4479C69F" w14:textId="77777777" w:rsidR="005916D5" w:rsidRPr="003E43C1" w:rsidRDefault="005916D5" w:rsidP="005A2528">
            <w:pPr>
              <w:spacing w:before="240"/>
              <w:rPr>
                <w:rFonts w:eastAsiaTheme="minorHAnsi"/>
              </w:rPr>
            </w:pPr>
            <w:r w:rsidRPr="00702AB1">
              <w:rPr>
                <w:rFonts w:eastAsiaTheme="minorHAnsi"/>
              </w:rPr>
              <w:t xml:space="preserve">The aims of the module are to understand and dissect the causes and consequences of key conflicts in the Modern Middle East from 1914 to the present. Seminar topics include the Middle East campaigns of the First World War, the Suez Crisis, the </w:t>
            </w:r>
            <w:proofErr w:type="gramStart"/>
            <w:r w:rsidRPr="00702AB1">
              <w:rPr>
                <w:rFonts w:eastAsiaTheme="minorHAnsi"/>
              </w:rPr>
              <w:t>Arab-Israeli</w:t>
            </w:r>
            <w:proofErr w:type="gramEnd"/>
            <w:r w:rsidRPr="00702AB1">
              <w:rPr>
                <w:rFonts w:eastAsiaTheme="minorHAnsi"/>
              </w:rPr>
              <w:t xml:space="preserve"> wars, the Gulf Wars, the Peace Process, the Arab Spring and the war on ISIS. Within the sessions the causation of conflict, military effectiveness and outcomes will be considered. The role of diplomacy in starting and ending wars is also reviewed. The differing perspectives of belligerents are analysed in conjunction with changing interpretations in the historiography.</w:t>
            </w:r>
          </w:p>
        </w:tc>
      </w:tr>
      <w:tr w:rsidR="005916D5" w14:paraId="5CA4345A" w14:textId="77777777" w:rsidTr="005A2528">
        <w:tc>
          <w:tcPr>
            <w:tcW w:w="9016" w:type="dxa"/>
          </w:tcPr>
          <w:p w14:paraId="4C17C9D4" w14:textId="77777777" w:rsidR="005916D5" w:rsidRPr="003E43C1" w:rsidRDefault="005916D5" w:rsidP="005A2528">
            <w:pPr>
              <w:spacing w:after="120" w:line="240" w:lineRule="auto"/>
              <w:rPr>
                <w:b/>
                <w:bCs/>
              </w:rPr>
            </w:pPr>
            <w:r w:rsidRPr="003E43C1">
              <w:rPr>
                <w:b/>
                <w:bCs/>
              </w:rPr>
              <w:t>Assessment:</w:t>
            </w:r>
          </w:p>
          <w:p w14:paraId="47A694B8" w14:textId="77777777" w:rsidR="005916D5" w:rsidRDefault="005916D5" w:rsidP="005A2528">
            <w:pPr>
              <w:spacing w:line="240" w:lineRule="auto"/>
            </w:pPr>
            <w:r w:rsidRPr="00A2345B">
              <w:t xml:space="preserve">1 x 3,000-word </w:t>
            </w:r>
            <w:r>
              <w:t xml:space="preserve">Portfolio </w:t>
            </w:r>
            <w:r w:rsidRPr="00A2345B">
              <w:t>(100%)</w:t>
            </w:r>
          </w:p>
        </w:tc>
      </w:tr>
    </w:tbl>
    <w:p w14:paraId="227954E9" w14:textId="77777777" w:rsidR="005916D5" w:rsidRDefault="005916D5" w:rsidP="005916D5">
      <w:pPr>
        <w:spacing w:line="240" w:lineRule="auto"/>
      </w:pPr>
    </w:p>
    <w:tbl>
      <w:tblPr>
        <w:tblStyle w:val="TableGrid"/>
        <w:tblW w:w="0" w:type="auto"/>
        <w:tblLook w:val="04A0" w:firstRow="1" w:lastRow="0" w:firstColumn="1" w:lastColumn="0" w:noHBand="0" w:noVBand="1"/>
      </w:tblPr>
      <w:tblGrid>
        <w:gridCol w:w="9016"/>
      </w:tblGrid>
      <w:tr w:rsidR="005916D5" w:rsidRPr="00D319AE" w14:paraId="614340F4" w14:textId="77777777" w:rsidTr="005A2528">
        <w:tc>
          <w:tcPr>
            <w:tcW w:w="9016" w:type="dxa"/>
          </w:tcPr>
          <w:p w14:paraId="23BB3DEC" w14:textId="77777777" w:rsidR="005916D5" w:rsidRPr="00D319AE" w:rsidRDefault="005916D5" w:rsidP="005A2528">
            <w:pPr>
              <w:spacing w:line="240" w:lineRule="auto"/>
              <w:rPr>
                <w:b/>
                <w:bCs/>
                <w:sz w:val="28"/>
                <w:szCs w:val="26"/>
              </w:rPr>
            </w:pPr>
            <w:r w:rsidRPr="00B84DED">
              <w:rPr>
                <w:b/>
                <w:bCs/>
                <w:sz w:val="28"/>
                <w:szCs w:val="32"/>
              </w:rPr>
              <w:t xml:space="preserve">LH Advanced Option: Empire, Equality and Environment: Modern France, 1870 to 2020 </w:t>
            </w:r>
            <w:r>
              <w:rPr>
                <w:b/>
                <w:bCs/>
                <w:sz w:val="28"/>
                <w:szCs w:val="32"/>
              </w:rPr>
              <w:t xml:space="preserve">– Dr Simon Jackson </w:t>
            </w:r>
            <w:r w:rsidRPr="00BC3865">
              <w:rPr>
                <w:b/>
                <w:bCs/>
                <w:sz w:val="28"/>
                <w:szCs w:val="32"/>
              </w:rPr>
              <w:t>(</w:t>
            </w:r>
            <w:r>
              <w:rPr>
                <w:b/>
                <w:bCs/>
                <w:sz w:val="28"/>
                <w:szCs w:val="32"/>
              </w:rPr>
              <w:t>41111</w:t>
            </w:r>
            <w:r w:rsidRPr="00BC3865">
              <w:rPr>
                <w:b/>
                <w:bCs/>
                <w:sz w:val="28"/>
                <w:szCs w:val="32"/>
              </w:rPr>
              <w:t>)</w:t>
            </w:r>
          </w:p>
        </w:tc>
      </w:tr>
      <w:tr w:rsidR="00C93ACA" w:rsidRPr="003E43C1" w14:paraId="6D4DC0FA" w14:textId="77777777" w:rsidTr="00AF7375">
        <w:tc>
          <w:tcPr>
            <w:tcW w:w="9016" w:type="dxa"/>
          </w:tcPr>
          <w:p w14:paraId="4DE1B5B1" w14:textId="77777777" w:rsidR="00C93ACA" w:rsidRPr="003E43C1" w:rsidRDefault="00C93ACA" w:rsidP="005A2528">
            <w:pPr>
              <w:spacing w:line="240" w:lineRule="auto"/>
              <w:rPr>
                <w:b/>
                <w:bCs/>
                <w:sz w:val="24"/>
                <w:szCs w:val="28"/>
              </w:rPr>
            </w:pPr>
            <w:r w:rsidRPr="003E43C1">
              <w:rPr>
                <w:b/>
                <w:bCs/>
                <w:sz w:val="24"/>
                <w:szCs w:val="28"/>
              </w:rPr>
              <w:t xml:space="preserve">Semester </w:t>
            </w:r>
            <w:r>
              <w:rPr>
                <w:b/>
                <w:bCs/>
                <w:sz w:val="24"/>
                <w:szCs w:val="28"/>
              </w:rPr>
              <w:t>2</w:t>
            </w:r>
          </w:p>
          <w:p w14:paraId="16A2596F" w14:textId="21762E7A" w:rsidR="00C93ACA" w:rsidRPr="003E43C1" w:rsidRDefault="00C93ACA" w:rsidP="005A2528">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5916D5" w:rsidRPr="003E43C1" w14:paraId="595B355D" w14:textId="77777777" w:rsidTr="005A2528">
        <w:tc>
          <w:tcPr>
            <w:tcW w:w="9016" w:type="dxa"/>
          </w:tcPr>
          <w:p w14:paraId="5AF125DD" w14:textId="77777777" w:rsidR="005916D5" w:rsidRPr="003E43C1" w:rsidRDefault="005916D5" w:rsidP="005A2528">
            <w:pPr>
              <w:spacing w:line="240" w:lineRule="auto"/>
              <w:rPr>
                <w:b/>
                <w:bCs/>
              </w:rPr>
            </w:pPr>
            <w:r w:rsidRPr="003E43C1">
              <w:rPr>
                <w:b/>
                <w:bCs/>
              </w:rPr>
              <w:t>Module Description:</w:t>
            </w:r>
          </w:p>
          <w:p w14:paraId="7046709D" w14:textId="77777777" w:rsidR="005916D5" w:rsidRPr="002F349C" w:rsidRDefault="005916D5" w:rsidP="005A2528">
            <w:pPr>
              <w:rPr>
                <w:bCs/>
              </w:rPr>
            </w:pPr>
            <w:r>
              <w:rPr>
                <w:bCs/>
              </w:rPr>
              <w:t>This option explores the political, social and cultural history of modern France since the late nineteenth century through one its most iconic characteristics: food and farming. We will begin with an anthropological exploration of some classic sites of the French 'empire of taste', such as the baguette or wine. We then look at ways in which the culture and politics of food have contributed to different ideas of what France is or should be: a sprawling colonial empire reliant on the crops grown within its boundaries, a Republic premised on specific forms of political freedom and economic equality, a cultural 'melting pot' in which rice or couscous symbolised fragile dreams of inclusive citizenship or anti-imperial resistance, a geopolitical player that championed EU agricultural policies but also nurtured environmental social movements and specific conservationist understandings of nature. Overall, the option delivers a deep history of modern France as it shaped and was shaped by food in all its forms.</w:t>
            </w:r>
          </w:p>
        </w:tc>
      </w:tr>
      <w:tr w:rsidR="005916D5" w14:paraId="457CF681" w14:textId="77777777" w:rsidTr="005A2528">
        <w:tc>
          <w:tcPr>
            <w:tcW w:w="9016" w:type="dxa"/>
          </w:tcPr>
          <w:p w14:paraId="1B1B1438" w14:textId="77777777" w:rsidR="005916D5" w:rsidRPr="003E43C1" w:rsidRDefault="005916D5" w:rsidP="005A2528">
            <w:pPr>
              <w:spacing w:after="120" w:line="240" w:lineRule="auto"/>
              <w:rPr>
                <w:b/>
                <w:bCs/>
              </w:rPr>
            </w:pPr>
            <w:r w:rsidRPr="003E43C1">
              <w:rPr>
                <w:b/>
                <w:bCs/>
              </w:rPr>
              <w:t>Assessment:</w:t>
            </w:r>
          </w:p>
          <w:p w14:paraId="78E35D3D" w14:textId="100E9301" w:rsidR="005916D5" w:rsidRDefault="005916D5" w:rsidP="005A2528">
            <w:pPr>
              <w:spacing w:line="240" w:lineRule="auto"/>
            </w:pPr>
            <w:r w:rsidRPr="00A2345B">
              <w:t xml:space="preserve">1 x 3,000-word </w:t>
            </w:r>
            <w:r>
              <w:t xml:space="preserve">Portfolio </w:t>
            </w:r>
            <w:r w:rsidRPr="00A2345B">
              <w:t>(100%)</w:t>
            </w:r>
          </w:p>
        </w:tc>
      </w:tr>
    </w:tbl>
    <w:p w14:paraId="00FB980E" w14:textId="77777777" w:rsidR="002E02E0" w:rsidRDefault="002E02E0" w:rsidP="002E02E0">
      <w:pPr>
        <w:spacing w:line="240" w:lineRule="auto"/>
      </w:pPr>
      <w:bookmarkStart w:id="5" w:name="_Toc158300240"/>
    </w:p>
    <w:tbl>
      <w:tblPr>
        <w:tblStyle w:val="TableGrid"/>
        <w:tblW w:w="0" w:type="auto"/>
        <w:tblLook w:val="04A0" w:firstRow="1" w:lastRow="0" w:firstColumn="1" w:lastColumn="0" w:noHBand="0" w:noVBand="1"/>
      </w:tblPr>
      <w:tblGrid>
        <w:gridCol w:w="9016"/>
      </w:tblGrid>
      <w:tr w:rsidR="002E02E0" w14:paraId="0F1F7365" w14:textId="77777777" w:rsidTr="005A2528">
        <w:tc>
          <w:tcPr>
            <w:tcW w:w="9016" w:type="dxa"/>
          </w:tcPr>
          <w:p w14:paraId="4F050862" w14:textId="77777777" w:rsidR="002E02E0" w:rsidRPr="00D319AE" w:rsidRDefault="002E02E0" w:rsidP="005A2528">
            <w:pPr>
              <w:spacing w:line="240" w:lineRule="auto"/>
              <w:rPr>
                <w:b/>
                <w:bCs/>
                <w:sz w:val="28"/>
                <w:szCs w:val="26"/>
              </w:rPr>
            </w:pPr>
            <w:r w:rsidRPr="00A120EC">
              <w:rPr>
                <w:b/>
                <w:bCs/>
                <w:sz w:val="28"/>
                <w:szCs w:val="32"/>
              </w:rPr>
              <w:t>LH Advanced Option: Revolution, Regicide, &amp; Republic: The British Civil Wars, 1642-1660</w:t>
            </w:r>
            <w:r>
              <w:rPr>
                <w:b/>
                <w:bCs/>
                <w:sz w:val="28"/>
                <w:szCs w:val="32"/>
              </w:rPr>
              <w:t xml:space="preserve"> – Dr Imogen Peck </w:t>
            </w:r>
            <w:r w:rsidRPr="00982FFD">
              <w:rPr>
                <w:b/>
                <w:bCs/>
                <w:sz w:val="28"/>
                <w:szCs w:val="32"/>
              </w:rPr>
              <w:t>(397</w:t>
            </w:r>
            <w:r>
              <w:rPr>
                <w:b/>
                <w:bCs/>
                <w:sz w:val="28"/>
                <w:szCs w:val="32"/>
              </w:rPr>
              <w:t>79</w:t>
            </w:r>
            <w:r w:rsidRPr="00982FFD">
              <w:rPr>
                <w:b/>
                <w:bCs/>
                <w:sz w:val="28"/>
                <w:szCs w:val="32"/>
              </w:rPr>
              <w:t>)</w:t>
            </w:r>
          </w:p>
        </w:tc>
      </w:tr>
      <w:tr w:rsidR="00C93ACA" w14:paraId="3C63295A" w14:textId="77777777" w:rsidTr="00BC1C38">
        <w:tc>
          <w:tcPr>
            <w:tcW w:w="9016" w:type="dxa"/>
          </w:tcPr>
          <w:p w14:paraId="057890FB" w14:textId="77777777" w:rsidR="00C93ACA" w:rsidRPr="003E43C1" w:rsidRDefault="00C93ACA" w:rsidP="005A2528">
            <w:pPr>
              <w:spacing w:line="240" w:lineRule="auto"/>
              <w:rPr>
                <w:b/>
                <w:bCs/>
                <w:sz w:val="24"/>
                <w:szCs w:val="28"/>
              </w:rPr>
            </w:pPr>
            <w:r w:rsidRPr="003E43C1">
              <w:rPr>
                <w:b/>
                <w:bCs/>
                <w:sz w:val="24"/>
                <w:szCs w:val="28"/>
              </w:rPr>
              <w:t xml:space="preserve">Semester </w:t>
            </w:r>
            <w:r>
              <w:rPr>
                <w:b/>
                <w:bCs/>
                <w:sz w:val="24"/>
                <w:szCs w:val="28"/>
              </w:rPr>
              <w:t>2</w:t>
            </w:r>
          </w:p>
          <w:p w14:paraId="797298F7" w14:textId="4F297BA0" w:rsidR="00C93ACA" w:rsidRPr="003E43C1" w:rsidRDefault="00C93ACA" w:rsidP="005A2528">
            <w:pPr>
              <w:spacing w:line="240" w:lineRule="auto"/>
              <w:rPr>
                <w:b/>
                <w:bCs/>
                <w:sz w:val="24"/>
                <w:szCs w:val="28"/>
              </w:rPr>
            </w:pPr>
            <w:r w:rsidRPr="003E43C1">
              <w:rPr>
                <w:b/>
                <w:bCs/>
                <w:sz w:val="24"/>
                <w:szCs w:val="28"/>
              </w:rPr>
              <w:t>Credits:</w:t>
            </w:r>
            <w:r w:rsidRPr="00330B24">
              <w:rPr>
                <w:sz w:val="24"/>
                <w:szCs w:val="28"/>
              </w:rPr>
              <w:t xml:space="preserve"> </w:t>
            </w:r>
            <w:r w:rsidRPr="00E03220">
              <w:rPr>
                <w:b/>
                <w:bCs/>
                <w:sz w:val="24"/>
                <w:szCs w:val="28"/>
              </w:rPr>
              <w:t>20</w:t>
            </w:r>
          </w:p>
        </w:tc>
      </w:tr>
      <w:tr w:rsidR="002E02E0" w14:paraId="4F511283" w14:textId="77777777" w:rsidTr="005A2528">
        <w:tc>
          <w:tcPr>
            <w:tcW w:w="9016" w:type="dxa"/>
          </w:tcPr>
          <w:p w14:paraId="433631A5" w14:textId="77777777" w:rsidR="002E02E0" w:rsidRPr="003E43C1" w:rsidRDefault="002E02E0" w:rsidP="005A2528">
            <w:pPr>
              <w:spacing w:line="240" w:lineRule="auto"/>
              <w:rPr>
                <w:b/>
                <w:bCs/>
              </w:rPr>
            </w:pPr>
            <w:r w:rsidRPr="003E43C1">
              <w:rPr>
                <w:b/>
                <w:bCs/>
              </w:rPr>
              <w:t>Module Description:</w:t>
            </w:r>
          </w:p>
          <w:p w14:paraId="111B5984" w14:textId="77777777" w:rsidR="002E02E0" w:rsidRDefault="002E02E0" w:rsidP="005A2528">
            <w:pPr>
              <w:jc w:val="both"/>
            </w:pPr>
            <w:r>
              <w:t xml:space="preserve">The Civil Wars that engulfed Britain in 1642 were the most destructive in the island’s history: a larger proportion of the population were killed either in fighting or from war-related disease than in both World Wars combined. Print censorship collapsed; radical new religious and political ideas took hold; and on a chilly January day in 1649 </w:t>
            </w:r>
            <w:proofErr w:type="gramStart"/>
            <w:r>
              <w:t>King Charles</w:t>
            </w:r>
            <w:proofErr w:type="gramEnd"/>
            <w:r>
              <w:t xml:space="preserve"> I was executed for treason against his own people. For the first (and last) time Britain was declared a republic. But the new regime faced stiff opposition and a raft of thorny social and political challenges, not least of which was how to </w:t>
            </w:r>
            <w:r>
              <w:lastRenderedPageBreak/>
              <w:t xml:space="preserve">achieve peace and reconciliation in a nation that had been wracked by ten years of bitter civil conflict. Within a decade, the republican experiment had </w:t>
            </w:r>
            <w:proofErr w:type="gramStart"/>
            <w:r>
              <w:t>collapsed</w:t>
            </w:r>
            <w:proofErr w:type="gramEnd"/>
            <w:r>
              <w:t xml:space="preserve"> and Charles II returned to the throne.</w:t>
            </w:r>
          </w:p>
          <w:p w14:paraId="6145D6DF" w14:textId="77777777" w:rsidR="002E02E0" w:rsidRPr="00982FFD" w:rsidRDefault="002E02E0" w:rsidP="005A2528">
            <w:pPr>
              <w:rPr>
                <w:bCs/>
              </w:rPr>
            </w:pPr>
            <w:r>
              <w:t>This module explores one of the most tumultuous periods in British history from the outbreak of war in 1642 to the Restoration of the monarchy 1660. With a particular emphasis on its social and cultural dimensions, students will explore the impact that the Civil Wars had on the lives of ordinary men, women, and children, from penniless Irish war widows and destitute orphans to female spies and cross-dressing soldiers. We will also consider how the expansion of news and print culture shaped popular politics, the growth of “radical” movements such as the Levellers, and the ways the conflict has been represented and remembered both in its immediate aftermath and in the centuries since. Students will work with a wide range of sources, including monuments, material culture, manuscripts, and print, and will use these to reflect on broader questions about the possibilities and challenges of doing history ‘from below’.</w:t>
            </w:r>
          </w:p>
        </w:tc>
      </w:tr>
      <w:tr w:rsidR="002E02E0" w14:paraId="6FF81462" w14:textId="77777777" w:rsidTr="005A2528">
        <w:tc>
          <w:tcPr>
            <w:tcW w:w="9016" w:type="dxa"/>
          </w:tcPr>
          <w:p w14:paraId="743FFBD6" w14:textId="77777777" w:rsidR="002E02E0" w:rsidRPr="003E43C1" w:rsidRDefault="002E02E0" w:rsidP="005A2528">
            <w:pPr>
              <w:spacing w:after="120" w:line="240" w:lineRule="auto"/>
              <w:rPr>
                <w:b/>
                <w:bCs/>
              </w:rPr>
            </w:pPr>
            <w:r w:rsidRPr="003E43C1">
              <w:rPr>
                <w:b/>
                <w:bCs/>
              </w:rPr>
              <w:lastRenderedPageBreak/>
              <w:t>Assessment:</w:t>
            </w:r>
          </w:p>
          <w:p w14:paraId="55AD2F2F" w14:textId="20C88104" w:rsidR="002E02E0" w:rsidRDefault="002E02E0" w:rsidP="005A2528">
            <w:pPr>
              <w:spacing w:after="120" w:line="240" w:lineRule="auto"/>
            </w:pPr>
            <w:r w:rsidRPr="00A2345B">
              <w:t xml:space="preserve">1 x 3,000-word </w:t>
            </w:r>
            <w:r>
              <w:t xml:space="preserve">Portfolio </w:t>
            </w:r>
            <w:r w:rsidRPr="00A2345B">
              <w:t>(100%)</w:t>
            </w:r>
          </w:p>
        </w:tc>
      </w:tr>
      <w:bookmarkEnd w:id="5"/>
    </w:tbl>
    <w:p w14:paraId="6EC32A69" w14:textId="77777777" w:rsidR="00934986" w:rsidRPr="008A6006" w:rsidRDefault="00934986" w:rsidP="0076611C">
      <w:pPr>
        <w:pStyle w:val="Heading1"/>
      </w:pPr>
    </w:p>
    <w:sectPr w:rsidR="00934986" w:rsidRPr="008A6006" w:rsidSect="003F650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F19AD" w14:textId="77777777" w:rsidR="00567775" w:rsidRDefault="00567775" w:rsidP="00D62FBF">
      <w:pPr>
        <w:spacing w:after="0" w:line="240" w:lineRule="auto"/>
      </w:pPr>
      <w:r>
        <w:separator/>
      </w:r>
    </w:p>
  </w:endnote>
  <w:endnote w:type="continuationSeparator" w:id="0">
    <w:p w14:paraId="04008EF4" w14:textId="77777777" w:rsidR="00567775" w:rsidRDefault="00567775" w:rsidP="00D62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449640"/>
      <w:docPartObj>
        <w:docPartGallery w:val="Page Numbers (Bottom of Page)"/>
        <w:docPartUnique/>
      </w:docPartObj>
    </w:sdtPr>
    <w:sdtEndPr>
      <w:rPr>
        <w:noProof/>
      </w:rPr>
    </w:sdtEndPr>
    <w:sdtContent>
      <w:p w14:paraId="1E517BD5" w14:textId="4739BE95" w:rsidR="00D62FBF" w:rsidRDefault="00D62FBF">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123D0">
          <w:rPr>
            <w:noProof/>
          </w:rPr>
          <w:t>6</w:t>
        </w:r>
        <w:r>
          <w:rPr>
            <w:noProof/>
            <w:color w:val="2B579A"/>
            <w:shd w:val="clear" w:color="auto" w:fill="E6E6E6"/>
          </w:rPr>
          <w:fldChar w:fldCharType="end"/>
        </w:r>
      </w:p>
    </w:sdtContent>
  </w:sdt>
  <w:p w14:paraId="6D41233A" w14:textId="77777777" w:rsidR="00D62FBF" w:rsidRDefault="00D62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82396" w14:textId="77777777" w:rsidR="00567775" w:rsidRDefault="00567775" w:rsidP="00D62FBF">
      <w:pPr>
        <w:spacing w:after="0" w:line="240" w:lineRule="auto"/>
      </w:pPr>
      <w:r>
        <w:separator/>
      </w:r>
    </w:p>
  </w:footnote>
  <w:footnote w:type="continuationSeparator" w:id="0">
    <w:p w14:paraId="32A660D6" w14:textId="77777777" w:rsidR="00567775" w:rsidRDefault="00567775" w:rsidP="00D62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3015"/>
    <w:multiLevelType w:val="hybridMultilevel"/>
    <w:tmpl w:val="578A9F82"/>
    <w:lvl w:ilvl="0" w:tplc="EEEC87E6">
      <w:start w:val="1"/>
      <w:numFmt w:val="bullet"/>
      <w:pStyle w:val="ListParagraph"/>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CD52F9"/>
    <w:multiLevelType w:val="hybridMultilevel"/>
    <w:tmpl w:val="67361BE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EB6277"/>
    <w:multiLevelType w:val="hybridMultilevel"/>
    <w:tmpl w:val="847C2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2754D"/>
    <w:multiLevelType w:val="hybridMultilevel"/>
    <w:tmpl w:val="D1C60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8374423">
    <w:abstractNumId w:val="2"/>
  </w:num>
  <w:num w:numId="2" w16cid:durableId="1216313668">
    <w:abstractNumId w:val="0"/>
  </w:num>
  <w:num w:numId="3" w16cid:durableId="1257786333">
    <w:abstractNumId w:val="1"/>
  </w:num>
  <w:num w:numId="4" w16cid:durableId="1840920698">
    <w:abstractNumId w:val="0"/>
  </w:num>
  <w:num w:numId="5" w16cid:durableId="1043359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4F8"/>
    <w:rsid w:val="00006185"/>
    <w:rsid w:val="00015B93"/>
    <w:rsid w:val="0002680B"/>
    <w:rsid w:val="00033D4E"/>
    <w:rsid w:val="000473CA"/>
    <w:rsid w:val="00053C16"/>
    <w:rsid w:val="000575EF"/>
    <w:rsid w:val="00095F7D"/>
    <w:rsid w:val="000A689B"/>
    <w:rsid w:val="000B2C19"/>
    <w:rsid w:val="000B3FF2"/>
    <w:rsid w:val="000B5C38"/>
    <w:rsid w:val="000D4957"/>
    <w:rsid w:val="000E6D87"/>
    <w:rsid w:val="000E7FDC"/>
    <w:rsid w:val="000F04F8"/>
    <w:rsid w:val="000F5A6B"/>
    <w:rsid w:val="001001AB"/>
    <w:rsid w:val="00110D51"/>
    <w:rsid w:val="00127C60"/>
    <w:rsid w:val="001448FD"/>
    <w:rsid w:val="00144C9D"/>
    <w:rsid w:val="00152CEE"/>
    <w:rsid w:val="00170446"/>
    <w:rsid w:val="001714EA"/>
    <w:rsid w:val="001848AD"/>
    <w:rsid w:val="00192893"/>
    <w:rsid w:val="00194B8B"/>
    <w:rsid w:val="00196F5B"/>
    <w:rsid w:val="001B30DC"/>
    <w:rsid w:val="001C2077"/>
    <w:rsid w:val="001E1E90"/>
    <w:rsid w:val="00207595"/>
    <w:rsid w:val="002139ED"/>
    <w:rsid w:val="00230D3E"/>
    <w:rsid w:val="002412DE"/>
    <w:rsid w:val="002728E9"/>
    <w:rsid w:val="0028380C"/>
    <w:rsid w:val="002917C7"/>
    <w:rsid w:val="00292020"/>
    <w:rsid w:val="002A4162"/>
    <w:rsid w:val="002C34F9"/>
    <w:rsid w:val="002E02E0"/>
    <w:rsid w:val="002E35D9"/>
    <w:rsid w:val="002F0327"/>
    <w:rsid w:val="002F1535"/>
    <w:rsid w:val="00311645"/>
    <w:rsid w:val="00313C13"/>
    <w:rsid w:val="00320970"/>
    <w:rsid w:val="00323283"/>
    <w:rsid w:val="00326A66"/>
    <w:rsid w:val="003423D0"/>
    <w:rsid w:val="00344995"/>
    <w:rsid w:val="0035356E"/>
    <w:rsid w:val="00374BAD"/>
    <w:rsid w:val="00383E0A"/>
    <w:rsid w:val="00390F1A"/>
    <w:rsid w:val="00391956"/>
    <w:rsid w:val="003A2498"/>
    <w:rsid w:val="003B4526"/>
    <w:rsid w:val="003C55FC"/>
    <w:rsid w:val="003F6509"/>
    <w:rsid w:val="004100FD"/>
    <w:rsid w:val="00413AED"/>
    <w:rsid w:val="00430A5C"/>
    <w:rsid w:val="00434DD8"/>
    <w:rsid w:val="0043630D"/>
    <w:rsid w:val="00453B1B"/>
    <w:rsid w:val="00463AA1"/>
    <w:rsid w:val="0047208A"/>
    <w:rsid w:val="004775BB"/>
    <w:rsid w:val="0048637B"/>
    <w:rsid w:val="0049484F"/>
    <w:rsid w:val="004D09C0"/>
    <w:rsid w:val="004E3F53"/>
    <w:rsid w:val="004E4131"/>
    <w:rsid w:val="004F4543"/>
    <w:rsid w:val="004F611B"/>
    <w:rsid w:val="0050593A"/>
    <w:rsid w:val="00513364"/>
    <w:rsid w:val="0053494C"/>
    <w:rsid w:val="00551C50"/>
    <w:rsid w:val="00554576"/>
    <w:rsid w:val="00555ACA"/>
    <w:rsid w:val="005569E5"/>
    <w:rsid w:val="005577B7"/>
    <w:rsid w:val="00567775"/>
    <w:rsid w:val="0057292E"/>
    <w:rsid w:val="00581CCC"/>
    <w:rsid w:val="005916D5"/>
    <w:rsid w:val="005A0A7B"/>
    <w:rsid w:val="005C2610"/>
    <w:rsid w:val="005C3B38"/>
    <w:rsid w:val="005C643A"/>
    <w:rsid w:val="005D07B0"/>
    <w:rsid w:val="006078C7"/>
    <w:rsid w:val="0062066E"/>
    <w:rsid w:val="00646E63"/>
    <w:rsid w:val="00661998"/>
    <w:rsid w:val="006642D0"/>
    <w:rsid w:val="0067135C"/>
    <w:rsid w:val="00680A7D"/>
    <w:rsid w:val="006C5DEA"/>
    <w:rsid w:val="006C6853"/>
    <w:rsid w:val="006E2CF0"/>
    <w:rsid w:val="00701EEC"/>
    <w:rsid w:val="00705E57"/>
    <w:rsid w:val="00715E06"/>
    <w:rsid w:val="00722184"/>
    <w:rsid w:val="007272BF"/>
    <w:rsid w:val="00740F5A"/>
    <w:rsid w:val="00743F6B"/>
    <w:rsid w:val="0074611A"/>
    <w:rsid w:val="0076611C"/>
    <w:rsid w:val="007A1908"/>
    <w:rsid w:val="007B40B1"/>
    <w:rsid w:val="007B438A"/>
    <w:rsid w:val="007C4D37"/>
    <w:rsid w:val="007D1388"/>
    <w:rsid w:val="007D5F2B"/>
    <w:rsid w:val="007E3031"/>
    <w:rsid w:val="007E55AE"/>
    <w:rsid w:val="007E7003"/>
    <w:rsid w:val="007F3500"/>
    <w:rsid w:val="00813BFE"/>
    <w:rsid w:val="00823A92"/>
    <w:rsid w:val="00845809"/>
    <w:rsid w:val="008565D9"/>
    <w:rsid w:val="00860757"/>
    <w:rsid w:val="0087179C"/>
    <w:rsid w:val="00890BEE"/>
    <w:rsid w:val="00895A85"/>
    <w:rsid w:val="008A21A5"/>
    <w:rsid w:val="008A6006"/>
    <w:rsid w:val="008B4C6E"/>
    <w:rsid w:val="008C2F9F"/>
    <w:rsid w:val="008D2214"/>
    <w:rsid w:val="008D2C42"/>
    <w:rsid w:val="008D581B"/>
    <w:rsid w:val="0093432B"/>
    <w:rsid w:val="00934986"/>
    <w:rsid w:val="00947CC0"/>
    <w:rsid w:val="00965861"/>
    <w:rsid w:val="00977837"/>
    <w:rsid w:val="009B6247"/>
    <w:rsid w:val="009C641D"/>
    <w:rsid w:val="009D31C9"/>
    <w:rsid w:val="009D6E75"/>
    <w:rsid w:val="009F040B"/>
    <w:rsid w:val="009F6147"/>
    <w:rsid w:val="009F6585"/>
    <w:rsid w:val="00A123D0"/>
    <w:rsid w:val="00A12BD2"/>
    <w:rsid w:val="00A135C2"/>
    <w:rsid w:val="00A13A21"/>
    <w:rsid w:val="00A13DE2"/>
    <w:rsid w:val="00A26AD0"/>
    <w:rsid w:val="00A32A02"/>
    <w:rsid w:val="00A33EBC"/>
    <w:rsid w:val="00A67E94"/>
    <w:rsid w:val="00A808C0"/>
    <w:rsid w:val="00A869D2"/>
    <w:rsid w:val="00A90FA9"/>
    <w:rsid w:val="00AA106F"/>
    <w:rsid w:val="00AB3ED4"/>
    <w:rsid w:val="00AC0951"/>
    <w:rsid w:val="00AE7E8F"/>
    <w:rsid w:val="00AF63BD"/>
    <w:rsid w:val="00B006F1"/>
    <w:rsid w:val="00B1351C"/>
    <w:rsid w:val="00B21ACF"/>
    <w:rsid w:val="00B340DF"/>
    <w:rsid w:val="00B43FB9"/>
    <w:rsid w:val="00B74D53"/>
    <w:rsid w:val="00BA11DB"/>
    <w:rsid w:val="00BA25A7"/>
    <w:rsid w:val="00BB5DA2"/>
    <w:rsid w:val="00BC1004"/>
    <w:rsid w:val="00BE422A"/>
    <w:rsid w:val="00BE467B"/>
    <w:rsid w:val="00BF3C5F"/>
    <w:rsid w:val="00C14766"/>
    <w:rsid w:val="00C1591C"/>
    <w:rsid w:val="00C17166"/>
    <w:rsid w:val="00C33793"/>
    <w:rsid w:val="00C46DA2"/>
    <w:rsid w:val="00C5406D"/>
    <w:rsid w:val="00C62FE2"/>
    <w:rsid w:val="00C66CB9"/>
    <w:rsid w:val="00C74081"/>
    <w:rsid w:val="00C904B7"/>
    <w:rsid w:val="00C93ACA"/>
    <w:rsid w:val="00CB33D6"/>
    <w:rsid w:val="00CB696D"/>
    <w:rsid w:val="00CC153C"/>
    <w:rsid w:val="00CC7E6F"/>
    <w:rsid w:val="00CD194A"/>
    <w:rsid w:val="00CE4213"/>
    <w:rsid w:val="00CF2870"/>
    <w:rsid w:val="00D00467"/>
    <w:rsid w:val="00D0169B"/>
    <w:rsid w:val="00D14137"/>
    <w:rsid w:val="00D172C4"/>
    <w:rsid w:val="00D62FBF"/>
    <w:rsid w:val="00D75687"/>
    <w:rsid w:val="00D84551"/>
    <w:rsid w:val="00DA1F0B"/>
    <w:rsid w:val="00DB400B"/>
    <w:rsid w:val="00DC2DE6"/>
    <w:rsid w:val="00DF713C"/>
    <w:rsid w:val="00E021FB"/>
    <w:rsid w:val="00E178D9"/>
    <w:rsid w:val="00E33F82"/>
    <w:rsid w:val="00E372D6"/>
    <w:rsid w:val="00E60152"/>
    <w:rsid w:val="00E9632C"/>
    <w:rsid w:val="00EA1399"/>
    <w:rsid w:val="00EA27DE"/>
    <w:rsid w:val="00EB24BB"/>
    <w:rsid w:val="00EE66A7"/>
    <w:rsid w:val="00EF34A3"/>
    <w:rsid w:val="00F006C7"/>
    <w:rsid w:val="00F0314F"/>
    <w:rsid w:val="00F21DE8"/>
    <w:rsid w:val="00F23B11"/>
    <w:rsid w:val="00F4625D"/>
    <w:rsid w:val="00F507CF"/>
    <w:rsid w:val="00F50EB1"/>
    <w:rsid w:val="00F538FE"/>
    <w:rsid w:val="00F64D0A"/>
    <w:rsid w:val="00F81D3A"/>
    <w:rsid w:val="00F902ED"/>
    <w:rsid w:val="00FA2630"/>
    <w:rsid w:val="00FA2A26"/>
    <w:rsid w:val="00FC1DA5"/>
    <w:rsid w:val="00FF290B"/>
    <w:rsid w:val="0330A688"/>
    <w:rsid w:val="0660D32B"/>
    <w:rsid w:val="128833B8"/>
    <w:rsid w:val="13398C61"/>
    <w:rsid w:val="14B0D555"/>
    <w:rsid w:val="164CA5B6"/>
    <w:rsid w:val="166ABF5E"/>
    <w:rsid w:val="1805326A"/>
    <w:rsid w:val="1A89324D"/>
    <w:rsid w:val="1DC0D30F"/>
    <w:rsid w:val="1EC76D2C"/>
    <w:rsid w:val="22C5611E"/>
    <w:rsid w:val="22DF7434"/>
    <w:rsid w:val="24CACD13"/>
    <w:rsid w:val="27E155DA"/>
    <w:rsid w:val="28413156"/>
    <w:rsid w:val="2C1F85AB"/>
    <w:rsid w:val="2DA04248"/>
    <w:rsid w:val="2F7D00A9"/>
    <w:rsid w:val="2F856467"/>
    <w:rsid w:val="3335C11F"/>
    <w:rsid w:val="33535D3A"/>
    <w:rsid w:val="3479937A"/>
    <w:rsid w:val="3579286D"/>
    <w:rsid w:val="36720EFE"/>
    <w:rsid w:val="3A7E58B0"/>
    <w:rsid w:val="3FF90C00"/>
    <w:rsid w:val="42A54B4A"/>
    <w:rsid w:val="4CEDE962"/>
    <w:rsid w:val="50686E8D"/>
    <w:rsid w:val="53AB4A70"/>
    <w:rsid w:val="553BDFB0"/>
    <w:rsid w:val="55678DF1"/>
    <w:rsid w:val="571B62A7"/>
    <w:rsid w:val="594CA49A"/>
    <w:rsid w:val="5AEBE5BF"/>
    <w:rsid w:val="5D0F7D88"/>
    <w:rsid w:val="5F88B745"/>
    <w:rsid w:val="5FC8CD91"/>
    <w:rsid w:val="637613EC"/>
    <w:rsid w:val="647EAAC8"/>
    <w:rsid w:val="66F5C161"/>
    <w:rsid w:val="67E7207F"/>
    <w:rsid w:val="6EF6CDA1"/>
    <w:rsid w:val="6F87853A"/>
    <w:rsid w:val="70DC964C"/>
    <w:rsid w:val="76E8B729"/>
    <w:rsid w:val="772DADA8"/>
    <w:rsid w:val="7C6C2340"/>
    <w:rsid w:val="7D57F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F9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D0"/>
    <w:pPr>
      <w:spacing w:after="220" w:line="360" w:lineRule="auto"/>
    </w:pPr>
    <w:rPr>
      <w:rFonts w:eastAsia="Times New Roman" w:cs="Times New Roman"/>
      <w:szCs w:val="24"/>
    </w:rPr>
  </w:style>
  <w:style w:type="paragraph" w:styleId="Heading1">
    <w:name w:val="heading 1"/>
    <w:basedOn w:val="Normal"/>
    <w:next w:val="Normal"/>
    <w:link w:val="Heading1Char"/>
    <w:uiPriority w:val="9"/>
    <w:qFormat/>
    <w:rsid w:val="006E2C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7DE"/>
    <w:pPr>
      <w:keepNext/>
      <w:keepLines/>
      <w:spacing w:before="280" w:after="0"/>
      <w:outlineLvl w:val="1"/>
    </w:pPr>
    <w:rPr>
      <w:rFonts w:asciiTheme="majorHAnsi" w:eastAsiaTheme="majorEastAsia" w:hAnsiTheme="majorHAnsi" w:cstheme="majorBidi"/>
      <w:color w:val="365F91" w:themeColor="accent1" w:themeShade="BF"/>
      <w:sz w:val="28"/>
      <w:szCs w:val="26"/>
    </w:rPr>
  </w:style>
  <w:style w:type="paragraph" w:styleId="Heading3">
    <w:name w:val="heading 3"/>
    <w:basedOn w:val="Normal"/>
    <w:next w:val="Normal"/>
    <w:link w:val="Heading3Char"/>
    <w:uiPriority w:val="9"/>
    <w:unhideWhenUsed/>
    <w:qFormat/>
    <w:rsid w:val="004F611B"/>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04F8"/>
    <w:pPr>
      <w:spacing w:after="0" w:line="240" w:lineRule="auto"/>
    </w:pPr>
    <w:rPr>
      <w:rFonts w:ascii="Calibri" w:eastAsia="Calibri" w:hAnsi="Calibri" w:cs="Times New Roman"/>
    </w:rPr>
  </w:style>
  <w:style w:type="character" w:customStyle="1" w:styleId="st">
    <w:name w:val="st"/>
    <w:basedOn w:val="DefaultParagraphFont"/>
    <w:rsid w:val="000F04F8"/>
  </w:style>
  <w:style w:type="paragraph" w:customStyle="1" w:styleId="Normal1">
    <w:name w:val="Normal1"/>
    <w:basedOn w:val="Normal"/>
    <w:rsid w:val="000F04F8"/>
    <w:rPr>
      <w:rFonts w:eastAsiaTheme="minorEastAsia"/>
      <w:sz w:val="20"/>
      <w:szCs w:val="20"/>
      <w:lang w:eastAsia="en-GB"/>
    </w:rPr>
  </w:style>
  <w:style w:type="character" w:customStyle="1" w:styleId="normalchar1">
    <w:name w:val="normal__char1"/>
    <w:basedOn w:val="DefaultParagraphFont"/>
    <w:rsid w:val="000F04F8"/>
    <w:rPr>
      <w:rFonts w:ascii="Times New Roman" w:hAnsi="Times New Roman" w:cs="Times New Roman" w:hint="default"/>
      <w:strike w:val="0"/>
      <w:dstrike w:val="0"/>
      <w:sz w:val="20"/>
      <w:szCs w:val="20"/>
      <w:u w:val="none"/>
      <w:effect w:val="none"/>
    </w:rPr>
  </w:style>
  <w:style w:type="paragraph" w:styleId="BodyText">
    <w:name w:val="Body Text"/>
    <w:basedOn w:val="Normal"/>
    <w:link w:val="BodyTextChar"/>
    <w:rsid w:val="000F04F8"/>
    <w:rPr>
      <w:b/>
      <w:bCs/>
    </w:rPr>
  </w:style>
  <w:style w:type="character" w:customStyle="1" w:styleId="BodyTextChar">
    <w:name w:val="Body Text Char"/>
    <w:basedOn w:val="DefaultParagraphFont"/>
    <w:link w:val="BodyText"/>
    <w:rsid w:val="000F04F8"/>
    <w:rPr>
      <w:rFonts w:ascii="Times New Roman" w:eastAsia="Times New Roman" w:hAnsi="Times New Roman" w:cs="Times New Roman"/>
      <w:b/>
      <w:bCs/>
      <w:sz w:val="24"/>
      <w:szCs w:val="24"/>
    </w:rPr>
  </w:style>
  <w:style w:type="paragraph" w:styleId="PlainText">
    <w:name w:val="Plain Text"/>
    <w:basedOn w:val="Normal"/>
    <w:link w:val="PlainTextChar"/>
    <w:uiPriority w:val="99"/>
    <w:unhideWhenUsed/>
    <w:rsid w:val="000F04F8"/>
    <w:rPr>
      <w:rFonts w:ascii="Consolas" w:eastAsiaTheme="minorHAnsi" w:hAnsi="Consolas"/>
      <w:sz w:val="21"/>
      <w:szCs w:val="21"/>
    </w:rPr>
  </w:style>
  <w:style w:type="character" w:customStyle="1" w:styleId="PlainTextChar">
    <w:name w:val="Plain Text Char"/>
    <w:basedOn w:val="DefaultParagraphFont"/>
    <w:link w:val="PlainText"/>
    <w:uiPriority w:val="99"/>
    <w:rsid w:val="000F04F8"/>
    <w:rPr>
      <w:rFonts w:ascii="Consolas" w:hAnsi="Consolas" w:cs="Times New Roman"/>
      <w:sz w:val="21"/>
      <w:szCs w:val="21"/>
    </w:rPr>
  </w:style>
  <w:style w:type="paragraph" w:customStyle="1" w:styleId="Standard">
    <w:name w:val="Standard"/>
    <w:rsid w:val="000F04F8"/>
    <w:pPr>
      <w:suppressAutoHyphens/>
      <w:autoSpaceDN w:val="0"/>
      <w:spacing w:after="0" w:line="240" w:lineRule="auto"/>
      <w:textAlignment w:val="baseline"/>
    </w:pPr>
    <w:rPr>
      <w:rFonts w:ascii="Arial, Arial" w:eastAsia="Times New Roman" w:hAnsi="Arial, Arial" w:cs="Arial, Arial"/>
      <w:color w:val="000000"/>
      <w:kern w:val="3"/>
      <w:szCs w:val="24"/>
      <w:lang w:eastAsia="zh-CN"/>
    </w:rPr>
  </w:style>
  <w:style w:type="character" w:customStyle="1" w:styleId="apple-converted-space">
    <w:name w:val="apple-converted-space"/>
    <w:basedOn w:val="DefaultParagraphFont"/>
    <w:rsid w:val="009F040B"/>
  </w:style>
  <w:style w:type="paragraph" w:styleId="Header">
    <w:name w:val="header"/>
    <w:basedOn w:val="Normal"/>
    <w:link w:val="HeaderChar"/>
    <w:uiPriority w:val="99"/>
    <w:unhideWhenUsed/>
    <w:rsid w:val="00CC153C"/>
    <w:pPr>
      <w:tabs>
        <w:tab w:val="center" w:pos="4680"/>
        <w:tab w:val="right" w:pos="9360"/>
      </w:tabs>
    </w:pPr>
    <w:rPr>
      <w:rFonts w:ascii="Arial" w:hAnsi="Arial"/>
      <w:color w:val="000000"/>
      <w:lang w:eastAsia="en-GB"/>
    </w:rPr>
  </w:style>
  <w:style w:type="character" w:customStyle="1" w:styleId="HeaderChar">
    <w:name w:val="Header Char"/>
    <w:basedOn w:val="DefaultParagraphFont"/>
    <w:link w:val="Header"/>
    <w:uiPriority w:val="99"/>
    <w:rsid w:val="00CC153C"/>
    <w:rPr>
      <w:rFonts w:ascii="Arial" w:eastAsia="Times New Roman" w:hAnsi="Arial" w:cs="Times New Roman"/>
      <w:color w:val="000000"/>
      <w:szCs w:val="24"/>
      <w:lang w:eastAsia="en-GB"/>
    </w:rPr>
  </w:style>
  <w:style w:type="character" w:customStyle="1" w:styleId="Heading2Char">
    <w:name w:val="Heading 2 Char"/>
    <w:basedOn w:val="DefaultParagraphFont"/>
    <w:link w:val="Heading2"/>
    <w:uiPriority w:val="9"/>
    <w:rsid w:val="00EA27DE"/>
    <w:rPr>
      <w:rFonts w:asciiTheme="majorHAnsi" w:eastAsiaTheme="majorEastAsia" w:hAnsiTheme="majorHAnsi" w:cstheme="majorBidi"/>
      <w:color w:val="365F91" w:themeColor="accent1" w:themeShade="BF"/>
      <w:sz w:val="28"/>
      <w:szCs w:val="26"/>
    </w:rPr>
  </w:style>
  <w:style w:type="character" w:customStyle="1" w:styleId="Heading1Char">
    <w:name w:val="Heading 1 Char"/>
    <w:basedOn w:val="DefaultParagraphFont"/>
    <w:link w:val="Heading1"/>
    <w:uiPriority w:val="9"/>
    <w:rsid w:val="006E2CF0"/>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EA27DE"/>
    <w:pPr>
      <w:numPr>
        <w:numId w:val="2"/>
      </w:numPr>
      <w:contextualSpacing/>
    </w:pPr>
  </w:style>
  <w:style w:type="paragraph" w:styleId="Footer">
    <w:name w:val="footer"/>
    <w:basedOn w:val="Normal"/>
    <w:link w:val="FooterChar"/>
    <w:uiPriority w:val="99"/>
    <w:unhideWhenUsed/>
    <w:rsid w:val="00D62F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FBF"/>
    <w:rPr>
      <w:rFonts w:eastAsia="Times New Roman" w:cs="Times New Roman"/>
      <w:szCs w:val="24"/>
    </w:rPr>
  </w:style>
  <w:style w:type="character" w:styleId="CommentReference">
    <w:name w:val="annotation reference"/>
    <w:basedOn w:val="DefaultParagraphFont"/>
    <w:uiPriority w:val="99"/>
    <w:semiHidden/>
    <w:unhideWhenUsed/>
    <w:rsid w:val="00292020"/>
    <w:rPr>
      <w:sz w:val="16"/>
      <w:szCs w:val="16"/>
    </w:rPr>
  </w:style>
  <w:style w:type="paragraph" w:styleId="CommentText">
    <w:name w:val="annotation text"/>
    <w:basedOn w:val="Normal"/>
    <w:link w:val="CommentTextChar"/>
    <w:uiPriority w:val="99"/>
    <w:semiHidden/>
    <w:unhideWhenUsed/>
    <w:rsid w:val="00292020"/>
    <w:pPr>
      <w:spacing w:line="240" w:lineRule="auto"/>
    </w:pPr>
    <w:rPr>
      <w:sz w:val="20"/>
      <w:szCs w:val="20"/>
    </w:rPr>
  </w:style>
  <w:style w:type="character" w:customStyle="1" w:styleId="CommentTextChar">
    <w:name w:val="Comment Text Char"/>
    <w:basedOn w:val="DefaultParagraphFont"/>
    <w:link w:val="CommentText"/>
    <w:uiPriority w:val="99"/>
    <w:semiHidden/>
    <w:rsid w:val="0029202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2020"/>
    <w:rPr>
      <w:b/>
      <w:bCs/>
    </w:rPr>
  </w:style>
  <w:style w:type="character" w:customStyle="1" w:styleId="CommentSubjectChar">
    <w:name w:val="Comment Subject Char"/>
    <w:basedOn w:val="CommentTextChar"/>
    <w:link w:val="CommentSubject"/>
    <w:uiPriority w:val="99"/>
    <w:semiHidden/>
    <w:rsid w:val="00292020"/>
    <w:rPr>
      <w:rFonts w:eastAsia="Times New Roman" w:cs="Times New Roman"/>
      <w:b/>
      <w:bCs/>
      <w:sz w:val="20"/>
      <w:szCs w:val="20"/>
    </w:rPr>
  </w:style>
  <w:style w:type="paragraph" w:styleId="BalloonText">
    <w:name w:val="Balloon Text"/>
    <w:basedOn w:val="Normal"/>
    <w:link w:val="BalloonTextChar"/>
    <w:uiPriority w:val="99"/>
    <w:semiHidden/>
    <w:unhideWhenUsed/>
    <w:rsid w:val="002920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020"/>
    <w:rPr>
      <w:rFonts w:ascii="Segoe UI" w:eastAsia="Times New Roman" w:hAnsi="Segoe UI" w:cs="Segoe UI"/>
      <w:sz w:val="18"/>
      <w:szCs w:val="18"/>
    </w:rPr>
  </w:style>
  <w:style w:type="paragraph" w:styleId="NormalWeb">
    <w:name w:val="Normal (Web)"/>
    <w:basedOn w:val="Normal"/>
    <w:uiPriority w:val="99"/>
    <w:unhideWhenUsed/>
    <w:rsid w:val="00F64D0A"/>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uiPriority w:val="22"/>
    <w:qFormat/>
    <w:rsid w:val="00F64D0A"/>
    <w:rPr>
      <w:b/>
      <w:bCs/>
    </w:rPr>
  </w:style>
  <w:style w:type="character" w:customStyle="1" w:styleId="Heading3Char">
    <w:name w:val="Heading 3 Char"/>
    <w:basedOn w:val="DefaultParagraphFont"/>
    <w:link w:val="Heading3"/>
    <w:uiPriority w:val="9"/>
    <w:rsid w:val="004F611B"/>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Pr>
      <w:color w:val="0000FF" w:themeColor="hyperlink"/>
      <w:u w:val="single"/>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A67E94"/>
  </w:style>
  <w:style w:type="table" w:styleId="TableGrid">
    <w:name w:val="Table Grid"/>
    <w:basedOn w:val="TableNormal"/>
    <w:uiPriority w:val="59"/>
    <w:rsid w:val="00E3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5406D"/>
    <w:pPr>
      <w:spacing w:after="0" w:line="259" w:lineRule="auto"/>
      <w:outlineLvl w:val="9"/>
    </w:pPr>
    <w:rPr>
      <w:lang w:val="en-US"/>
    </w:rPr>
  </w:style>
  <w:style w:type="paragraph" w:styleId="TOC1">
    <w:name w:val="toc 1"/>
    <w:basedOn w:val="Normal"/>
    <w:next w:val="Normal"/>
    <w:autoRedefine/>
    <w:uiPriority w:val="39"/>
    <w:unhideWhenUsed/>
    <w:rsid w:val="00C5406D"/>
    <w:pPr>
      <w:spacing w:after="100"/>
    </w:pPr>
  </w:style>
  <w:style w:type="paragraph" w:styleId="TOC2">
    <w:name w:val="toc 2"/>
    <w:basedOn w:val="Normal"/>
    <w:next w:val="Normal"/>
    <w:autoRedefine/>
    <w:uiPriority w:val="39"/>
    <w:unhideWhenUsed/>
    <w:rsid w:val="00C5406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4839">
      <w:bodyDiv w:val="1"/>
      <w:marLeft w:val="0"/>
      <w:marRight w:val="0"/>
      <w:marTop w:val="0"/>
      <w:marBottom w:val="0"/>
      <w:divBdr>
        <w:top w:val="none" w:sz="0" w:space="0" w:color="auto"/>
        <w:left w:val="none" w:sz="0" w:space="0" w:color="auto"/>
        <w:bottom w:val="none" w:sz="0" w:space="0" w:color="auto"/>
        <w:right w:val="none" w:sz="0" w:space="0" w:color="auto"/>
      </w:divBdr>
    </w:div>
    <w:div w:id="157579919">
      <w:bodyDiv w:val="1"/>
      <w:marLeft w:val="0"/>
      <w:marRight w:val="0"/>
      <w:marTop w:val="0"/>
      <w:marBottom w:val="0"/>
      <w:divBdr>
        <w:top w:val="none" w:sz="0" w:space="0" w:color="auto"/>
        <w:left w:val="none" w:sz="0" w:space="0" w:color="auto"/>
        <w:bottom w:val="none" w:sz="0" w:space="0" w:color="auto"/>
        <w:right w:val="none" w:sz="0" w:space="0" w:color="auto"/>
      </w:divBdr>
    </w:div>
    <w:div w:id="439571622">
      <w:bodyDiv w:val="1"/>
      <w:marLeft w:val="0"/>
      <w:marRight w:val="0"/>
      <w:marTop w:val="0"/>
      <w:marBottom w:val="0"/>
      <w:divBdr>
        <w:top w:val="none" w:sz="0" w:space="0" w:color="auto"/>
        <w:left w:val="none" w:sz="0" w:space="0" w:color="auto"/>
        <w:bottom w:val="none" w:sz="0" w:space="0" w:color="auto"/>
        <w:right w:val="none" w:sz="0" w:space="0" w:color="auto"/>
      </w:divBdr>
    </w:div>
    <w:div w:id="486944575">
      <w:bodyDiv w:val="1"/>
      <w:marLeft w:val="0"/>
      <w:marRight w:val="0"/>
      <w:marTop w:val="0"/>
      <w:marBottom w:val="0"/>
      <w:divBdr>
        <w:top w:val="none" w:sz="0" w:space="0" w:color="auto"/>
        <w:left w:val="none" w:sz="0" w:space="0" w:color="auto"/>
        <w:bottom w:val="none" w:sz="0" w:space="0" w:color="auto"/>
        <w:right w:val="none" w:sz="0" w:space="0" w:color="auto"/>
      </w:divBdr>
    </w:div>
    <w:div w:id="750856420">
      <w:bodyDiv w:val="1"/>
      <w:marLeft w:val="0"/>
      <w:marRight w:val="0"/>
      <w:marTop w:val="0"/>
      <w:marBottom w:val="0"/>
      <w:divBdr>
        <w:top w:val="none" w:sz="0" w:space="0" w:color="auto"/>
        <w:left w:val="none" w:sz="0" w:space="0" w:color="auto"/>
        <w:bottom w:val="none" w:sz="0" w:space="0" w:color="auto"/>
        <w:right w:val="none" w:sz="0" w:space="0" w:color="auto"/>
      </w:divBdr>
    </w:div>
    <w:div w:id="789781502">
      <w:bodyDiv w:val="1"/>
      <w:marLeft w:val="0"/>
      <w:marRight w:val="0"/>
      <w:marTop w:val="0"/>
      <w:marBottom w:val="0"/>
      <w:divBdr>
        <w:top w:val="none" w:sz="0" w:space="0" w:color="auto"/>
        <w:left w:val="none" w:sz="0" w:space="0" w:color="auto"/>
        <w:bottom w:val="none" w:sz="0" w:space="0" w:color="auto"/>
        <w:right w:val="none" w:sz="0" w:space="0" w:color="auto"/>
      </w:divBdr>
    </w:div>
    <w:div w:id="917981203">
      <w:bodyDiv w:val="1"/>
      <w:marLeft w:val="0"/>
      <w:marRight w:val="0"/>
      <w:marTop w:val="0"/>
      <w:marBottom w:val="0"/>
      <w:divBdr>
        <w:top w:val="none" w:sz="0" w:space="0" w:color="auto"/>
        <w:left w:val="none" w:sz="0" w:space="0" w:color="auto"/>
        <w:bottom w:val="none" w:sz="0" w:space="0" w:color="auto"/>
        <w:right w:val="none" w:sz="0" w:space="0" w:color="auto"/>
      </w:divBdr>
    </w:div>
    <w:div w:id="967589127">
      <w:bodyDiv w:val="1"/>
      <w:marLeft w:val="0"/>
      <w:marRight w:val="0"/>
      <w:marTop w:val="0"/>
      <w:marBottom w:val="0"/>
      <w:divBdr>
        <w:top w:val="none" w:sz="0" w:space="0" w:color="auto"/>
        <w:left w:val="none" w:sz="0" w:space="0" w:color="auto"/>
        <w:bottom w:val="none" w:sz="0" w:space="0" w:color="auto"/>
        <w:right w:val="none" w:sz="0" w:space="0" w:color="auto"/>
      </w:divBdr>
    </w:div>
    <w:div w:id="1037127315">
      <w:bodyDiv w:val="1"/>
      <w:marLeft w:val="0"/>
      <w:marRight w:val="0"/>
      <w:marTop w:val="0"/>
      <w:marBottom w:val="0"/>
      <w:divBdr>
        <w:top w:val="none" w:sz="0" w:space="0" w:color="auto"/>
        <w:left w:val="none" w:sz="0" w:space="0" w:color="auto"/>
        <w:bottom w:val="none" w:sz="0" w:space="0" w:color="auto"/>
        <w:right w:val="none" w:sz="0" w:space="0" w:color="auto"/>
      </w:divBdr>
    </w:div>
    <w:div w:id="1042705276">
      <w:bodyDiv w:val="1"/>
      <w:marLeft w:val="0"/>
      <w:marRight w:val="0"/>
      <w:marTop w:val="0"/>
      <w:marBottom w:val="0"/>
      <w:divBdr>
        <w:top w:val="none" w:sz="0" w:space="0" w:color="auto"/>
        <w:left w:val="none" w:sz="0" w:space="0" w:color="auto"/>
        <w:bottom w:val="none" w:sz="0" w:space="0" w:color="auto"/>
        <w:right w:val="none" w:sz="0" w:space="0" w:color="auto"/>
      </w:divBdr>
    </w:div>
    <w:div w:id="1074472917">
      <w:bodyDiv w:val="1"/>
      <w:marLeft w:val="0"/>
      <w:marRight w:val="0"/>
      <w:marTop w:val="0"/>
      <w:marBottom w:val="0"/>
      <w:divBdr>
        <w:top w:val="none" w:sz="0" w:space="0" w:color="auto"/>
        <w:left w:val="none" w:sz="0" w:space="0" w:color="auto"/>
        <w:bottom w:val="none" w:sz="0" w:space="0" w:color="auto"/>
        <w:right w:val="none" w:sz="0" w:space="0" w:color="auto"/>
      </w:divBdr>
    </w:div>
    <w:div w:id="1098721271">
      <w:bodyDiv w:val="1"/>
      <w:marLeft w:val="0"/>
      <w:marRight w:val="0"/>
      <w:marTop w:val="0"/>
      <w:marBottom w:val="0"/>
      <w:divBdr>
        <w:top w:val="none" w:sz="0" w:space="0" w:color="auto"/>
        <w:left w:val="none" w:sz="0" w:space="0" w:color="auto"/>
        <w:bottom w:val="none" w:sz="0" w:space="0" w:color="auto"/>
        <w:right w:val="none" w:sz="0" w:space="0" w:color="auto"/>
      </w:divBdr>
    </w:div>
    <w:div w:id="1186291132">
      <w:bodyDiv w:val="1"/>
      <w:marLeft w:val="0"/>
      <w:marRight w:val="0"/>
      <w:marTop w:val="0"/>
      <w:marBottom w:val="0"/>
      <w:divBdr>
        <w:top w:val="none" w:sz="0" w:space="0" w:color="auto"/>
        <w:left w:val="none" w:sz="0" w:space="0" w:color="auto"/>
        <w:bottom w:val="none" w:sz="0" w:space="0" w:color="auto"/>
        <w:right w:val="none" w:sz="0" w:space="0" w:color="auto"/>
      </w:divBdr>
    </w:div>
    <w:div w:id="1213271892">
      <w:bodyDiv w:val="1"/>
      <w:marLeft w:val="0"/>
      <w:marRight w:val="0"/>
      <w:marTop w:val="0"/>
      <w:marBottom w:val="0"/>
      <w:divBdr>
        <w:top w:val="none" w:sz="0" w:space="0" w:color="auto"/>
        <w:left w:val="none" w:sz="0" w:space="0" w:color="auto"/>
        <w:bottom w:val="none" w:sz="0" w:space="0" w:color="auto"/>
        <w:right w:val="none" w:sz="0" w:space="0" w:color="auto"/>
      </w:divBdr>
    </w:div>
    <w:div w:id="1292327664">
      <w:bodyDiv w:val="1"/>
      <w:marLeft w:val="0"/>
      <w:marRight w:val="0"/>
      <w:marTop w:val="0"/>
      <w:marBottom w:val="0"/>
      <w:divBdr>
        <w:top w:val="none" w:sz="0" w:space="0" w:color="auto"/>
        <w:left w:val="none" w:sz="0" w:space="0" w:color="auto"/>
        <w:bottom w:val="none" w:sz="0" w:space="0" w:color="auto"/>
        <w:right w:val="none" w:sz="0" w:space="0" w:color="auto"/>
      </w:divBdr>
    </w:div>
    <w:div w:id="1606307134">
      <w:bodyDiv w:val="1"/>
      <w:marLeft w:val="0"/>
      <w:marRight w:val="0"/>
      <w:marTop w:val="0"/>
      <w:marBottom w:val="0"/>
      <w:divBdr>
        <w:top w:val="none" w:sz="0" w:space="0" w:color="auto"/>
        <w:left w:val="none" w:sz="0" w:space="0" w:color="auto"/>
        <w:bottom w:val="none" w:sz="0" w:space="0" w:color="auto"/>
        <w:right w:val="none" w:sz="0" w:space="0" w:color="auto"/>
      </w:divBdr>
    </w:div>
    <w:div w:id="1630436551">
      <w:bodyDiv w:val="1"/>
      <w:marLeft w:val="0"/>
      <w:marRight w:val="0"/>
      <w:marTop w:val="0"/>
      <w:marBottom w:val="0"/>
      <w:divBdr>
        <w:top w:val="none" w:sz="0" w:space="0" w:color="auto"/>
        <w:left w:val="none" w:sz="0" w:space="0" w:color="auto"/>
        <w:bottom w:val="none" w:sz="0" w:space="0" w:color="auto"/>
        <w:right w:val="none" w:sz="0" w:space="0" w:color="auto"/>
      </w:divBdr>
    </w:div>
    <w:div w:id="1713459289">
      <w:bodyDiv w:val="1"/>
      <w:marLeft w:val="0"/>
      <w:marRight w:val="0"/>
      <w:marTop w:val="0"/>
      <w:marBottom w:val="0"/>
      <w:divBdr>
        <w:top w:val="none" w:sz="0" w:space="0" w:color="auto"/>
        <w:left w:val="none" w:sz="0" w:space="0" w:color="auto"/>
        <w:bottom w:val="none" w:sz="0" w:space="0" w:color="auto"/>
        <w:right w:val="none" w:sz="0" w:space="0" w:color="auto"/>
      </w:divBdr>
    </w:div>
    <w:div w:id="1772235607">
      <w:bodyDiv w:val="1"/>
      <w:marLeft w:val="0"/>
      <w:marRight w:val="0"/>
      <w:marTop w:val="0"/>
      <w:marBottom w:val="0"/>
      <w:divBdr>
        <w:top w:val="none" w:sz="0" w:space="0" w:color="auto"/>
        <w:left w:val="none" w:sz="0" w:space="0" w:color="auto"/>
        <w:bottom w:val="none" w:sz="0" w:space="0" w:color="auto"/>
        <w:right w:val="none" w:sz="0" w:space="0" w:color="auto"/>
      </w:divBdr>
    </w:div>
    <w:div w:id="1870753666">
      <w:bodyDiv w:val="1"/>
      <w:marLeft w:val="0"/>
      <w:marRight w:val="0"/>
      <w:marTop w:val="0"/>
      <w:marBottom w:val="0"/>
      <w:divBdr>
        <w:top w:val="none" w:sz="0" w:space="0" w:color="auto"/>
        <w:left w:val="none" w:sz="0" w:space="0" w:color="auto"/>
        <w:bottom w:val="none" w:sz="0" w:space="0" w:color="auto"/>
        <w:right w:val="none" w:sz="0" w:space="0" w:color="auto"/>
      </w:divBdr>
    </w:div>
    <w:div w:id="1905532077">
      <w:bodyDiv w:val="1"/>
      <w:marLeft w:val="0"/>
      <w:marRight w:val="0"/>
      <w:marTop w:val="0"/>
      <w:marBottom w:val="0"/>
      <w:divBdr>
        <w:top w:val="none" w:sz="0" w:space="0" w:color="auto"/>
        <w:left w:val="none" w:sz="0" w:space="0" w:color="auto"/>
        <w:bottom w:val="none" w:sz="0" w:space="0" w:color="auto"/>
        <w:right w:val="none" w:sz="0" w:space="0" w:color="auto"/>
      </w:divBdr>
    </w:div>
    <w:div w:id="213663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cd9013a22a4fa164488fcc41d043e926">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499f9f721ef277da72ea4e1e33dabeb8"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06BE4-4B21-47AB-B9A2-007059E1FE12}">
  <ds:schemaRefs>
    <ds:schemaRef ds:uri="http://schemas.openxmlformats.org/officeDocument/2006/bibliography"/>
  </ds:schemaRefs>
</ds:datastoreItem>
</file>

<file path=customXml/itemProps2.xml><?xml version="1.0" encoding="utf-8"?>
<ds:datastoreItem xmlns:ds="http://schemas.openxmlformats.org/officeDocument/2006/customXml" ds:itemID="{152CD31E-BE64-4D76-8D7C-EC099CC545BE}">
  <ds:schemaRefs>
    <ds:schemaRef ds:uri="http://schemas.microsoft.com/sharepoint/v3/contenttype/forms"/>
  </ds:schemaRefs>
</ds:datastoreItem>
</file>

<file path=customXml/itemProps3.xml><?xml version="1.0" encoding="utf-8"?>
<ds:datastoreItem xmlns:ds="http://schemas.openxmlformats.org/officeDocument/2006/customXml" ds:itemID="{47E47412-0C39-4B28-A519-A3536E680479}">
  <ds:schemaRefs>
    <ds:schemaRef ds:uri="http://schemas.openxmlformats.org/package/2006/metadata/core-properties"/>
    <ds:schemaRef ds:uri="45b57f8a-e80f-464a-ba18-f2dfa7c15633"/>
    <ds:schemaRef ds:uri="http://purl.org/dc/dcmitype/"/>
    <ds:schemaRef ds:uri="http://purl.org/dc/elements/1.1/"/>
    <ds:schemaRef ds:uri="http://schemas.microsoft.com/office/2006/documentManagement/types"/>
    <ds:schemaRef ds:uri="8f3b0ea4-5744-40a5-b286-f904455a6718"/>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DF449932-13EF-41D4-B2C2-5CB087CAA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2331</Words>
  <Characters>12671</Characters>
  <Application>Microsoft Office Word</Application>
  <DocSecurity>4</DocSecurity>
  <Lines>249</Lines>
  <Paragraphs>97</Paragraphs>
  <ScaleCrop>false</ScaleCrop>
  <Company>University of Birmingham</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Berry</dc:creator>
  <cp:lastModifiedBy>Nicola Hickman (Arts and Law)</cp:lastModifiedBy>
  <cp:revision>2</cp:revision>
  <dcterms:created xsi:type="dcterms:W3CDTF">2025-10-22T09:26:00Z</dcterms:created>
  <dcterms:modified xsi:type="dcterms:W3CDTF">2025-10-22T09:26:00Z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