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A275" w14:textId="77777777" w:rsidR="00B13817" w:rsidRDefault="00B13817" w:rsidP="00CC443C">
      <w:pPr>
        <w:pStyle w:val="Heading1"/>
        <w:jc w:val="left"/>
        <w:rPr>
          <w:sz w:val="72"/>
          <w:szCs w:val="56"/>
        </w:rPr>
      </w:pPr>
      <w:bookmarkStart w:id="0" w:name="_Toc188866927"/>
      <w:r w:rsidRPr="008417C2">
        <w:rPr>
          <w:sz w:val="72"/>
          <w:szCs w:val="56"/>
        </w:rPr>
        <w:t>Responsible Investment Policy</w:t>
      </w:r>
      <w:bookmarkEnd w:id="0"/>
    </w:p>
    <w:p w14:paraId="58AD1DD6" w14:textId="1FC7FD1F" w:rsidR="00184232" w:rsidRPr="00184232" w:rsidRDefault="006D08E0" w:rsidP="00184232">
      <w:pPr>
        <w:pStyle w:val="Subtitle"/>
        <w:rPr>
          <w:rFonts w:cs="Arial"/>
        </w:rPr>
      </w:pPr>
      <w:r>
        <w:rPr>
          <w:rFonts w:cs="Arial"/>
        </w:rPr>
        <w:t>Date</w:t>
      </w:r>
      <w:r w:rsidR="008F453E">
        <w:rPr>
          <w:rFonts w:cs="Arial"/>
        </w:rPr>
        <w:t xml:space="preserve"> </w:t>
      </w:r>
      <w:r>
        <w:rPr>
          <w:rFonts w:cs="Arial"/>
        </w:rPr>
        <w:t>reviewed</w:t>
      </w:r>
      <w:r w:rsidR="008F453E">
        <w:rPr>
          <w:rFonts w:cs="Arial"/>
        </w:rPr>
        <w:t xml:space="preserve">: </w:t>
      </w:r>
      <w:r>
        <w:rPr>
          <w:rFonts w:cs="Arial"/>
        </w:rPr>
        <w:t xml:space="preserve">23 </w:t>
      </w:r>
      <w:r w:rsidR="008F453E">
        <w:rPr>
          <w:rFonts w:cs="Arial"/>
        </w:rPr>
        <w:t>January 2025</w:t>
      </w:r>
    </w:p>
    <w:bookmarkStart w:id="1" w:name="_Toc188866928" w:displacedByCustomXml="next"/>
    <w:sdt>
      <w:sdtPr>
        <w:rPr>
          <w:rFonts w:eastAsiaTheme="minorHAnsi" w:cstheme="minorBidi"/>
          <w:b w:val="0"/>
          <w:sz w:val="24"/>
          <w:szCs w:val="22"/>
          <w:lang w:val="en-CA"/>
        </w:rPr>
        <w:id w:val="-745569844"/>
        <w:docPartObj>
          <w:docPartGallery w:val="Table of Contents"/>
          <w:docPartUnique/>
        </w:docPartObj>
      </w:sdtPr>
      <w:sdtEndPr>
        <w:rPr>
          <w:bCs/>
          <w:noProof/>
        </w:rPr>
      </w:sdtEndPr>
      <w:sdtContent>
        <w:p w14:paraId="47555EDF" w14:textId="3950BF50" w:rsidR="002E35EC" w:rsidRDefault="002E35EC" w:rsidP="002E35EC">
          <w:pPr>
            <w:pStyle w:val="Heading2"/>
          </w:pPr>
          <w:r>
            <w:t>Contents</w:t>
          </w:r>
          <w:bookmarkEnd w:id="1"/>
        </w:p>
        <w:p w14:paraId="44C15582" w14:textId="29471808" w:rsidR="006D08E0" w:rsidRDefault="00184232">
          <w:pPr>
            <w:pStyle w:val="TOC1"/>
            <w:tabs>
              <w:tab w:val="right" w:leader="dot" w:pos="9350"/>
            </w:tabs>
            <w:rPr>
              <w:rFonts w:asciiTheme="minorHAnsi" w:eastAsiaTheme="minorEastAsia" w:hAnsiTheme="minorHAnsi"/>
              <w:noProof/>
              <w:szCs w:val="24"/>
              <w:lang w:val="en-GB" w:eastAsia="en-GB"/>
            </w:rPr>
          </w:pPr>
          <w:r>
            <w:fldChar w:fldCharType="begin"/>
          </w:r>
          <w:r>
            <w:instrText xml:space="preserve"> TOC \o "1-3" \h \z \u </w:instrText>
          </w:r>
          <w:r>
            <w:fldChar w:fldCharType="separate"/>
          </w:r>
          <w:hyperlink w:anchor="_Toc188866927" w:history="1">
            <w:r w:rsidR="006D08E0" w:rsidRPr="00092138">
              <w:rPr>
                <w:rStyle w:val="Hyperlink"/>
                <w:noProof/>
              </w:rPr>
              <w:t>Responsible Investment Policy</w:t>
            </w:r>
            <w:r w:rsidR="006D08E0">
              <w:rPr>
                <w:noProof/>
                <w:webHidden/>
              </w:rPr>
              <w:tab/>
            </w:r>
            <w:r w:rsidR="006D08E0">
              <w:rPr>
                <w:noProof/>
                <w:webHidden/>
              </w:rPr>
              <w:fldChar w:fldCharType="begin"/>
            </w:r>
            <w:r w:rsidR="006D08E0">
              <w:rPr>
                <w:noProof/>
                <w:webHidden/>
              </w:rPr>
              <w:instrText xml:space="preserve"> PAGEREF _Toc188866927 \h </w:instrText>
            </w:r>
            <w:r w:rsidR="006D08E0">
              <w:rPr>
                <w:noProof/>
                <w:webHidden/>
              </w:rPr>
            </w:r>
            <w:r w:rsidR="006D08E0">
              <w:rPr>
                <w:noProof/>
                <w:webHidden/>
              </w:rPr>
              <w:fldChar w:fldCharType="separate"/>
            </w:r>
            <w:r w:rsidR="006D08E0">
              <w:rPr>
                <w:noProof/>
                <w:webHidden/>
              </w:rPr>
              <w:t>1</w:t>
            </w:r>
            <w:r w:rsidR="006D08E0">
              <w:rPr>
                <w:noProof/>
                <w:webHidden/>
              </w:rPr>
              <w:fldChar w:fldCharType="end"/>
            </w:r>
          </w:hyperlink>
        </w:p>
        <w:p w14:paraId="47FA3AB6" w14:textId="55C86444"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28" w:history="1">
            <w:r w:rsidRPr="00092138">
              <w:rPr>
                <w:rStyle w:val="Hyperlink"/>
                <w:noProof/>
              </w:rPr>
              <w:t>Contents</w:t>
            </w:r>
            <w:r>
              <w:rPr>
                <w:noProof/>
                <w:webHidden/>
              </w:rPr>
              <w:tab/>
            </w:r>
            <w:r>
              <w:rPr>
                <w:noProof/>
                <w:webHidden/>
              </w:rPr>
              <w:fldChar w:fldCharType="begin"/>
            </w:r>
            <w:r>
              <w:rPr>
                <w:noProof/>
                <w:webHidden/>
              </w:rPr>
              <w:instrText xml:space="preserve"> PAGEREF _Toc188866928 \h </w:instrText>
            </w:r>
            <w:r>
              <w:rPr>
                <w:noProof/>
                <w:webHidden/>
              </w:rPr>
            </w:r>
            <w:r>
              <w:rPr>
                <w:noProof/>
                <w:webHidden/>
              </w:rPr>
              <w:fldChar w:fldCharType="separate"/>
            </w:r>
            <w:r>
              <w:rPr>
                <w:noProof/>
                <w:webHidden/>
              </w:rPr>
              <w:t>1</w:t>
            </w:r>
            <w:r>
              <w:rPr>
                <w:noProof/>
                <w:webHidden/>
              </w:rPr>
              <w:fldChar w:fldCharType="end"/>
            </w:r>
          </w:hyperlink>
        </w:p>
        <w:p w14:paraId="65AB33D4" w14:textId="420524B6"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29" w:history="1">
            <w:r w:rsidRPr="00092138">
              <w:rPr>
                <w:rStyle w:val="Hyperlink"/>
                <w:noProof/>
              </w:rPr>
              <w:t>Introduction</w:t>
            </w:r>
            <w:r>
              <w:rPr>
                <w:noProof/>
                <w:webHidden/>
              </w:rPr>
              <w:tab/>
            </w:r>
            <w:r>
              <w:rPr>
                <w:noProof/>
                <w:webHidden/>
              </w:rPr>
              <w:fldChar w:fldCharType="begin"/>
            </w:r>
            <w:r>
              <w:rPr>
                <w:noProof/>
                <w:webHidden/>
              </w:rPr>
              <w:instrText xml:space="preserve"> PAGEREF _Toc188866929 \h </w:instrText>
            </w:r>
            <w:r>
              <w:rPr>
                <w:noProof/>
                <w:webHidden/>
              </w:rPr>
            </w:r>
            <w:r>
              <w:rPr>
                <w:noProof/>
                <w:webHidden/>
              </w:rPr>
              <w:fldChar w:fldCharType="separate"/>
            </w:r>
            <w:r>
              <w:rPr>
                <w:noProof/>
                <w:webHidden/>
              </w:rPr>
              <w:t>1</w:t>
            </w:r>
            <w:r>
              <w:rPr>
                <w:noProof/>
                <w:webHidden/>
              </w:rPr>
              <w:fldChar w:fldCharType="end"/>
            </w:r>
          </w:hyperlink>
        </w:p>
        <w:p w14:paraId="73F03271" w14:textId="35FC98B3"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0" w:history="1">
            <w:r w:rsidRPr="00092138">
              <w:rPr>
                <w:rStyle w:val="Hyperlink"/>
                <w:noProof/>
              </w:rPr>
              <w:t>Background</w:t>
            </w:r>
            <w:r>
              <w:rPr>
                <w:noProof/>
                <w:webHidden/>
              </w:rPr>
              <w:tab/>
            </w:r>
            <w:r>
              <w:rPr>
                <w:noProof/>
                <w:webHidden/>
              </w:rPr>
              <w:fldChar w:fldCharType="begin"/>
            </w:r>
            <w:r>
              <w:rPr>
                <w:noProof/>
                <w:webHidden/>
              </w:rPr>
              <w:instrText xml:space="preserve"> PAGEREF _Toc188866930 \h </w:instrText>
            </w:r>
            <w:r>
              <w:rPr>
                <w:noProof/>
                <w:webHidden/>
              </w:rPr>
            </w:r>
            <w:r>
              <w:rPr>
                <w:noProof/>
                <w:webHidden/>
              </w:rPr>
              <w:fldChar w:fldCharType="separate"/>
            </w:r>
            <w:r>
              <w:rPr>
                <w:noProof/>
                <w:webHidden/>
              </w:rPr>
              <w:t>2</w:t>
            </w:r>
            <w:r>
              <w:rPr>
                <w:noProof/>
                <w:webHidden/>
              </w:rPr>
              <w:fldChar w:fldCharType="end"/>
            </w:r>
          </w:hyperlink>
        </w:p>
        <w:p w14:paraId="60CBFE81" w14:textId="63257579"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1" w:history="1">
            <w:r w:rsidRPr="00092138">
              <w:rPr>
                <w:rStyle w:val="Hyperlink"/>
                <w:noProof/>
              </w:rPr>
              <w:t>Investment of funds</w:t>
            </w:r>
            <w:r>
              <w:rPr>
                <w:noProof/>
                <w:webHidden/>
              </w:rPr>
              <w:tab/>
            </w:r>
            <w:r>
              <w:rPr>
                <w:noProof/>
                <w:webHidden/>
              </w:rPr>
              <w:fldChar w:fldCharType="begin"/>
            </w:r>
            <w:r>
              <w:rPr>
                <w:noProof/>
                <w:webHidden/>
              </w:rPr>
              <w:instrText xml:space="preserve"> PAGEREF _Toc188866931 \h </w:instrText>
            </w:r>
            <w:r>
              <w:rPr>
                <w:noProof/>
                <w:webHidden/>
              </w:rPr>
            </w:r>
            <w:r>
              <w:rPr>
                <w:noProof/>
                <w:webHidden/>
              </w:rPr>
              <w:fldChar w:fldCharType="separate"/>
            </w:r>
            <w:r>
              <w:rPr>
                <w:noProof/>
                <w:webHidden/>
              </w:rPr>
              <w:t>2</w:t>
            </w:r>
            <w:r>
              <w:rPr>
                <w:noProof/>
                <w:webHidden/>
              </w:rPr>
              <w:fldChar w:fldCharType="end"/>
            </w:r>
          </w:hyperlink>
        </w:p>
        <w:p w14:paraId="0CEF729C" w14:textId="09B5617F"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2" w:history="1">
            <w:r w:rsidRPr="00092138">
              <w:rPr>
                <w:rStyle w:val="Hyperlink"/>
                <w:noProof/>
              </w:rPr>
              <w:t>Investment principles</w:t>
            </w:r>
            <w:r>
              <w:rPr>
                <w:noProof/>
                <w:webHidden/>
              </w:rPr>
              <w:tab/>
            </w:r>
            <w:r>
              <w:rPr>
                <w:noProof/>
                <w:webHidden/>
              </w:rPr>
              <w:fldChar w:fldCharType="begin"/>
            </w:r>
            <w:r>
              <w:rPr>
                <w:noProof/>
                <w:webHidden/>
              </w:rPr>
              <w:instrText xml:space="preserve"> PAGEREF _Toc188866932 \h </w:instrText>
            </w:r>
            <w:r>
              <w:rPr>
                <w:noProof/>
                <w:webHidden/>
              </w:rPr>
            </w:r>
            <w:r>
              <w:rPr>
                <w:noProof/>
                <w:webHidden/>
              </w:rPr>
              <w:fldChar w:fldCharType="separate"/>
            </w:r>
            <w:r>
              <w:rPr>
                <w:noProof/>
                <w:webHidden/>
              </w:rPr>
              <w:t>3</w:t>
            </w:r>
            <w:r>
              <w:rPr>
                <w:noProof/>
                <w:webHidden/>
              </w:rPr>
              <w:fldChar w:fldCharType="end"/>
            </w:r>
          </w:hyperlink>
        </w:p>
        <w:p w14:paraId="590C72AF" w14:textId="55FF2A49"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3" w:history="1">
            <w:r w:rsidRPr="00092138">
              <w:rPr>
                <w:rStyle w:val="Hyperlink"/>
                <w:noProof/>
              </w:rPr>
              <w:t>Stewardship</w:t>
            </w:r>
            <w:r>
              <w:rPr>
                <w:noProof/>
                <w:webHidden/>
              </w:rPr>
              <w:tab/>
            </w:r>
            <w:r>
              <w:rPr>
                <w:noProof/>
                <w:webHidden/>
              </w:rPr>
              <w:fldChar w:fldCharType="begin"/>
            </w:r>
            <w:r>
              <w:rPr>
                <w:noProof/>
                <w:webHidden/>
              </w:rPr>
              <w:instrText xml:space="preserve"> PAGEREF _Toc188866933 \h </w:instrText>
            </w:r>
            <w:r>
              <w:rPr>
                <w:noProof/>
                <w:webHidden/>
              </w:rPr>
            </w:r>
            <w:r>
              <w:rPr>
                <w:noProof/>
                <w:webHidden/>
              </w:rPr>
              <w:fldChar w:fldCharType="separate"/>
            </w:r>
            <w:r>
              <w:rPr>
                <w:noProof/>
                <w:webHidden/>
              </w:rPr>
              <w:t>4</w:t>
            </w:r>
            <w:r>
              <w:rPr>
                <w:noProof/>
                <w:webHidden/>
              </w:rPr>
              <w:fldChar w:fldCharType="end"/>
            </w:r>
          </w:hyperlink>
        </w:p>
        <w:p w14:paraId="4D987D43" w14:textId="481B95C6"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4" w:history="1">
            <w:r w:rsidRPr="00092138">
              <w:rPr>
                <w:rStyle w:val="Hyperlink"/>
                <w:noProof/>
              </w:rPr>
              <w:t>Environmental, Social and Corporate Governance (ESG) integration</w:t>
            </w:r>
            <w:r>
              <w:rPr>
                <w:noProof/>
                <w:webHidden/>
              </w:rPr>
              <w:tab/>
            </w:r>
            <w:r>
              <w:rPr>
                <w:noProof/>
                <w:webHidden/>
              </w:rPr>
              <w:fldChar w:fldCharType="begin"/>
            </w:r>
            <w:r>
              <w:rPr>
                <w:noProof/>
                <w:webHidden/>
              </w:rPr>
              <w:instrText xml:space="preserve"> PAGEREF _Toc188866934 \h </w:instrText>
            </w:r>
            <w:r>
              <w:rPr>
                <w:noProof/>
                <w:webHidden/>
              </w:rPr>
            </w:r>
            <w:r>
              <w:rPr>
                <w:noProof/>
                <w:webHidden/>
              </w:rPr>
              <w:fldChar w:fldCharType="separate"/>
            </w:r>
            <w:r>
              <w:rPr>
                <w:noProof/>
                <w:webHidden/>
              </w:rPr>
              <w:t>5</w:t>
            </w:r>
            <w:r>
              <w:rPr>
                <w:noProof/>
                <w:webHidden/>
              </w:rPr>
              <w:fldChar w:fldCharType="end"/>
            </w:r>
          </w:hyperlink>
        </w:p>
        <w:p w14:paraId="6E0A5D70" w14:textId="0F6E4CCA"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5" w:history="1">
            <w:r w:rsidRPr="00092138">
              <w:rPr>
                <w:rStyle w:val="Hyperlink"/>
                <w:noProof/>
              </w:rPr>
              <w:t>Exclusions</w:t>
            </w:r>
            <w:r>
              <w:rPr>
                <w:noProof/>
                <w:webHidden/>
              </w:rPr>
              <w:tab/>
            </w:r>
            <w:r>
              <w:rPr>
                <w:noProof/>
                <w:webHidden/>
              </w:rPr>
              <w:fldChar w:fldCharType="begin"/>
            </w:r>
            <w:r>
              <w:rPr>
                <w:noProof/>
                <w:webHidden/>
              </w:rPr>
              <w:instrText xml:space="preserve"> PAGEREF _Toc188866935 \h </w:instrText>
            </w:r>
            <w:r>
              <w:rPr>
                <w:noProof/>
                <w:webHidden/>
              </w:rPr>
            </w:r>
            <w:r>
              <w:rPr>
                <w:noProof/>
                <w:webHidden/>
              </w:rPr>
              <w:fldChar w:fldCharType="separate"/>
            </w:r>
            <w:r>
              <w:rPr>
                <w:noProof/>
                <w:webHidden/>
              </w:rPr>
              <w:t>6</w:t>
            </w:r>
            <w:r>
              <w:rPr>
                <w:noProof/>
                <w:webHidden/>
              </w:rPr>
              <w:fldChar w:fldCharType="end"/>
            </w:r>
          </w:hyperlink>
        </w:p>
        <w:p w14:paraId="1EAF7352" w14:textId="1FFA93BE"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6" w:history="1">
            <w:r w:rsidRPr="00092138">
              <w:rPr>
                <w:rStyle w:val="Hyperlink"/>
                <w:noProof/>
              </w:rPr>
              <w:t>Manager discretion and the use of pooled funds</w:t>
            </w:r>
            <w:r>
              <w:rPr>
                <w:noProof/>
                <w:webHidden/>
              </w:rPr>
              <w:tab/>
            </w:r>
            <w:r>
              <w:rPr>
                <w:noProof/>
                <w:webHidden/>
              </w:rPr>
              <w:fldChar w:fldCharType="begin"/>
            </w:r>
            <w:r>
              <w:rPr>
                <w:noProof/>
                <w:webHidden/>
              </w:rPr>
              <w:instrText xml:space="preserve"> PAGEREF _Toc188866936 \h </w:instrText>
            </w:r>
            <w:r>
              <w:rPr>
                <w:noProof/>
                <w:webHidden/>
              </w:rPr>
            </w:r>
            <w:r>
              <w:rPr>
                <w:noProof/>
                <w:webHidden/>
              </w:rPr>
              <w:fldChar w:fldCharType="separate"/>
            </w:r>
            <w:r>
              <w:rPr>
                <w:noProof/>
                <w:webHidden/>
              </w:rPr>
              <w:t>7</w:t>
            </w:r>
            <w:r>
              <w:rPr>
                <w:noProof/>
                <w:webHidden/>
              </w:rPr>
              <w:fldChar w:fldCharType="end"/>
            </w:r>
          </w:hyperlink>
        </w:p>
        <w:p w14:paraId="4BE7DE57" w14:textId="3FD79A0A"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7" w:history="1">
            <w:r w:rsidRPr="00092138">
              <w:rPr>
                <w:rStyle w:val="Hyperlink"/>
                <w:noProof/>
              </w:rPr>
              <w:t>Governance</w:t>
            </w:r>
            <w:r>
              <w:rPr>
                <w:noProof/>
                <w:webHidden/>
              </w:rPr>
              <w:tab/>
            </w:r>
            <w:r>
              <w:rPr>
                <w:noProof/>
                <w:webHidden/>
              </w:rPr>
              <w:fldChar w:fldCharType="begin"/>
            </w:r>
            <w:r>
              <w:rPr>
                <w:noProof/>
                <w:webHidden/>
              </w:rPr>
              <w:instrText xml:space="preserve"> PAGEREF _Toc188866937 \h </w:instrText>
            </w:r>
            <w:r>
              <w:rPr>
                <w:noProof/>
                <w:webHidden/>
              </w:rPr>
            </w:r>
            <w:r>
              <w:rPr>
                <w:noProof/>
                <w:webHidden/>
              </w:rPr>
              <w:fldChar w:fldCharType="separate"/>
            </w:r>
            <w:r>
              <w:rPr>
                <w:noProof/>
                <w:webHidden/>
              </w:rPr>
              <w:t>8</w:t>
            </w:r>
            <w:r>
              <w:rPr>
                <w:noProof/>
                <w:webHidden/>
              </w:rPr>
              <w:fldChar w:fldCharType="end"/>
            </w:r>
          </w:hyperlink>
        </w:p>
        <w:p w14:paraId="1949895F" w14:textId="4461DA8D"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8" w:history="1">
            <w:r w:rsidRPr="00092138">
              <w:rPr>
                <w:rStyle w:val="Hyperlink"/>
                <w:noProof/>
              </w:rPr>
              <w:t>Monitoring</w:t>
            </w:r>
            <w:r>
              <w:rPr>
                <w:noProof/>
                <w:webHidden/>
              </w:rPr>
              <w:tab/>
            </w:r>
            <w:r>
              <w:rPr>
                <w:noProof/>
                <w:webHidden/>
              </w:rPr>
              <w:fldChar w:fldCharType="begin"/>
            </w:r>
            <w:r>
              <w:rPr>
                <w:noProof/>
                <w:webHidden/>
              </w:rPr>
              <w:instrText xml:space="preserve"> PAGEREF _Toc188866938 \h </w:instrText>
            </w:r>
            <w:r>
              <w:rPr>
                <w:noProof/>
                <w:webHidden/>
              </w:rPr>
            </w:r>
            <w:r>
              <w:rPr>
                <w:noProof/>
                <w:webHidden/>
              </w:rPr>
              <w:fldChar w:fldCharType="separate"/>
            </w:r>
            <w:r>
              <w:rPr>
                <w:noProof/>
                <w:webHidden/>
              </w:rPr>
              <w:t>8</w:t>
            </w:r>
            <w:r>
              <w:rPr>
                <w:noProof/>
                <w:webHidden/>
              </w:rPr>
              <w:fldChar w:fldCharType="end"/>
            </w:r>
          </w:hyperlink>
        </w:p>
        <w:p w14:paraId="3527CC37" w14:textId="5A8932E7"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39" w:history="1">
            <w:r w:rsidRPr="00092138">
              <w:rPr>
                <w:rStyle w:val="Hyperlink"/>
                <w:noProof/>
              </w:rPr>
              <w:t>Representation process</w:t>
            </w:r>
            <w:r>
              <w:rPr>
                <w:noProof/>
                <w:webHidden/>
              </w:rPr>
              <w:tab/>
            </w:r>
            <w:r>
              <w:rPr>
                <w:noProof/>
                <w:webHidden/>
              </w:rPr>
              <w:fldChar w:fldCharType="begin"/>
            </w:r>
            <w:r>
              <w:rPr>
                <w:noProof/>
                <w:webHidden/>
              </w:rPr>
              <w:instrText xml:space="preserve"> PAGEREF _Toc188866939 \h </w:instrText>
            </w:r>
            <w:r>
              <w:rPr>
                <w:noProof/>
                <w:webHidden/>
              </w:rPr>
            </w:r>
            <w:r>
              <w:rPr>
                <w:noProof/>
                <w:webHidden/>
              </w:rPr>
              <w:fldChar w:fldCharType="separate"/>
            </w:r>
            <w:r>
              <w:rPr>
                <w:noProof/>
                <w:webHidden/>
              </w:rPr>
              <w:t>8</w:t>
            </w:r>
            <w:r>
              <w:rPr>
                <w:noProof/>
                <w:webHidden/>
              </w:rPr>
              <w:fldChar w:fldCharType="end"/>
            </w:r>
          </w:hyperlink>
        </w:p>
        <w:p w14:paraId="52D2377D" w14:textId="043F1863" w:rsidR="006D08E0" w:rsidRDefault="006D08E0">
          <w:pPr>
            <w:pStyle w:val="TOC2"/>
            <w:tabs>
              <w:tab w:val="right" w:leader="dot" w:pos="9350"/>
            </w:tabs>
            <w:rPr>
              <w:rFonts w:asciiTheme="minorHAnsi" w:eastAsiaTheme="minorEastAsia" w:hAnsiTheme="minorHAnsi"/>
              <w:noProof/>
              <w:szCs w:val="24"/>
              <w:lang w:val="en-GB" w:eastAsia="en-GB"/>
            </w:rPr>
          </w:pPr>
          <w:hyperlink w:anchor="_Toc188866940" w:history="1">
            <w:r w:rsidRPr="00092138">
              <w:rPr>
                <w:rStyle w:val="Hyperlink"/>
                <w:noProof/>
              </w:rPr>
              <w:t>Review process</w:t>
            </w:r>
            <w:r>
              <w:rPr>
                <w:noProof/>
                <w:webHidden/>
              </w:rPr>
              <w:tab/>
            </w:r>
            <w:r>
              <w:rPr>
                <w:noProof/>
                <w:webHidden/>
              </w:rPr>
              <w:fldChar w:fldCharType="begin"/>
            </w:r>
            <w:r>
              <w:rPr>
                <w:noProof/>
                <w:webHidden/>
              </w:rPr>
              <w:instrText xml:space="preserve"> PAGEREF _Toc188866940 \h </w:instrText>
            </w:r>
            <w:r>
              <w:rPr>
                <w:noProof/>
                <w:webHidden/>
              </w:rPr>
            </w:r>
            <w:r>
              <w:rPr>
                <w:noProof/>
                <w:webHidden/>
              </w:rPr>
              <w:fldChar w:fldCharType="separate"/>
            </w:r>
            <w:r>
              <w:rPr>
                <w:noProof/>
                <w:webHidden/>
              </w:rPr>
              <w:t>9</w:t>
            </w:r>
            <w:r>
              <w:rPr>
                <w:noProof/>
                <w:webHidden/>
              </w:rPr>
              <w:fldChar w:fldCharType="end"/>
            </w:r>
          </w:hyperlink>
        </w:p>
        <w:p w14:paraId="312571D2" w14:textId="65A7AA9F" w:rsidR="002E35EC" w:rsidRDefault="00184232">
          <w:r>
            <w:fldChar w:fldCharType="end"/>
          </w:r>
        </w:p>
      </w:sdtContent>
    </w:sdt>
    <w:p w14:paraId="0404831B" w14:textId="4C6ACD44" w:rsidR="00B13817" w:rsidRPr="00CC443C" w:rsidRDefault="00B13817" w:rsidP="00CC443C">
      <w:pPr>
        <w:pStyle w:val="Heading2"/>
      </w:pPr>
      <w:bookmarkStart w:id="2" w:name="_Toc188866929"/>
      <w:r w:rsidRPr="00B2137B">
        <w:t>Introduction</w:t>
      </w:r>
      <w:bookmarkEnd w:id="2"/>
    </w:p>
    <w:p w14:paraId="3C2655D6" w14:textId="77777777" w:rsidR="00B13817" w:rsidRDefault="00B13817" w:rsidP="00CC443C">
      <w:pPr>
        <w:spacing w:after="0"/>
        <w:rPr>
          <w:rFonts w:cs="Arial"/>
        </w:rPr>
      </w:pPr>
      <w:r w:rsidRPr="007B34B5">
        <w:rPr>
          <w:rFonts w:cs="Arial"/>
        </w:rPr>
        <w:t xml:space="preserve">This Responsible Investment Policy defines the commitment of </w:t>
      </w:r>
      <w:r>
        <w:rPr>
          <w:rFonts w:cs="Arial"/>
        </w:rPr>
        <w:t>the University of Birmingham to responsible investment</w:t>
      </w:r>
      <w:r w:rsidRPr="007B34B5">
        <w:rPr>
          <w:rFonts w:cs="Arial"/>
        </w:rPr>
        <w:t xml:space="preserve">. Its purpose is to detail the approach </w:t>
      </w:r>
      <w:r>
        <w:rPr>
          <w:rFonts w:cs="Arial"/>
        </w:rPr>
        <w:t xml:space="preserve">that the University aims to follow in </w:t>
      </w:r>
      <w:r w:rsidRPr="007B34B5">
        <w:rPr>
          <w:rFonts w:cs="Arial"/>
        </w:rPr>
        <w:t>integrating environmental, social and governance (‘ESG’) issues in its investments.</w:t>
      </w:r>
    </w:p>
    <w:p w14:paraId="25B7C0F8" w14:textId="77777777" w:rsidR="00B13817" w:rsidRDefault="00B13817" w:rsidP="00CC443C">
      <w:pPr>
        <w:spacing w:after="0"/>
        <w:rPr>
          <w:rFonts w:cs="Arial"/>
        </w:rPr>
      </w:pPr>
    </w:p>
    <w:p w14:paraId="1572B5D9" w14:textId="77777777" w:rsidR="00B13817" w:rsidRPr="00607385" w:rsidRDefault="00B13817" w:rsidP="00CC443C">
      <w:pPr>
        <w:spacing w:after="0"/>
        <w:rPr>
          <w:rFonts w:cs="Arial"/>
        </w:rPr>
      </w:pPr>
      <w:r>
        <w:rPr>
          <w:rFonts w:cs="Arial"/>
        </w:rPr>
        <w:t>The Policy</w:t>
      </w:r>
      <w:r w:rsidRPr="007B34B5">
        <w:rPr>
          <w:rFonts w:cs="Arial"/>
        </w:rPr>
        <w:t xml:space="preserve"> </w:t>
      </w:r>
      <w:r w:rsidRPr="00607385">
        <w:rPr>
          <w:rFonts w:cs="Arial"/>
        </w:rPr>
        <w:t>has been developed with the intention of active promotion of investment in companies and investment funds which demonstrate policies and practices that are in line with the University’s values as a socially responsible institution.</w:t>
      </w:r>
    </w:p>
    <w:p w14:paraId="6CB711CF" w14:textId="77777777" w:rsidR="00B13817" w:rsidRPr="00B2137B" w:rsidRDefault="00B13817" w:rsidP="00CC443C">
      <w:pPr>
        <w:spacing w:after="0"/>
        <w:rPr>
          <w:rFonts w:cs="Arial"/>
          <w:color w:val="FF0000"/>
        </w:rPr>
      </w:pPr>
    </w:p>
    <w:p w14:paraId="306FE139" w14:textId="47D1DDA5" w:rsidR="00B13817" w:rsidRPr="003A0059" w:rsidRDefault="00B13817" w:rsidP="00CC443C">
      <w:pPr>
        <w:spacing w:after="0"/>
        <w:rPr>
          <w:rFonts w:cs="Arial"/>
        </w:rPr>
      </w:pPr>
      <w:r w:rsidRPr="001257A1">
        <w:rPr>
          <w:rFonts w:cs="Arial"/>
        </w:rPr>
        <w:t>The Policy applies</w:t>
      </w:r>
      <w:r w:rsidRPr="00B2137B">
        <w:rPr>
          <w:rFonts w:cs="Arial"/>
        </w:rPr>
        <w:t xml:space="preserve"> to the full scope of the investments held by the University and is intended to be entirely consistent with the University’s duty to yield the best financial return within the level of risk considered to be acceptable by the University. </w:t>
      </w:r>
    </w:p>
    <w:p w14:paraId="4F202451" w14:textId="77777777" w:rsidR="00B13817" w:rsidRPr="00B2137B" w:rsidRDefault="00B13817" w:rsidP="00CC443C">
      <w:pPr>
        <w:pStyle w:val="Heading2"/>
      </w:pPr>
      <w:bookmarkStart w:id="3" w:name="_Toc188866930"/>
      <w:r w:rsidRPr="00B2137B">
        <w:lastRenderedPageBreak/>
        <w:t>Background</w:t>
      </w:r>
      <w:bookmarkEnd w:id="3"/>
      <w:r w:rsidRPr="00B2137B">
        <w:t xml:space="preserve"> </w:t>
      </w:r>
    </w:p>
    <w:p w14:paraId="2C6EDAD7" w14:textId="2233A5BC" w:rsidR="00B13817" w:rsidRDefault="00B13817" w:rsidP="00CC443C">
      <w:pPr>
        <w:spacing w:after="0"/>
        <w:rPr>
          <w:rFonts w:cs="Arial"/>
        </w:rPr>
      </w:pPr>
      <w:r w:rsidRPr="00B2137B">
        <w:rPr>
          <w:rFonts w:cs="Arial"/>
        </w:rPr>
        <w:t>As a civic university, we embrace our unique role in contributing to the United Nations Sustainable Development Goals (SDGs). The goals are “the blueprint to achieve a better and more sustainable future for all. They address the global challenges we face, including those related to poverty, inequality, climate change, environmental degradation, peace and justice’’.</w:t>
      </w:r>
    </w:p>
    <w:p w14:paraId="2301D081" w14:textId="77777777" w:rsidR="003A0059" w:rsidRPr="00B2137B" w:rsidRDefault="003A0059" w:rsidP="00CC443C">
      <w:pPr>
        <w:spacing w:after="0"/>
        <w:rPr>
          <w:rFonts w:cs="Arial"/>
        </w:rPr>
      </w:pPr>
    </w:p>
    <w:p w14:paraId="33CE26A6" w14:textId="77777777" w:rsidR="00B13817" w:rsidRDefault="00B13817" w:rsidP="00CC443C">
      <w:pPr>
        <w:spacing w:after="0"/>
        <w:rPr>
          <w:rFonts w:cs="Arial"/>
        </w:rPr>
      </w:pPr>
      <w:r w:rsidRPr="00B2137B">
        <w:rPr>
          <w:rFonts w:cs="Arial"/>
        </w:rPr>
        <w:t xml:space="preserve">Socially responsible institutions are those that adopt policies that promote the wellbeing of society and the environment whilst lessening the impact. We have always understood that a commitment to society and the environment go </w:t>
      </w:r>
      <w:proofErr w:type="gramStart"/>
      <w:r w:rsidRPr="00B2137B">
        <w:rPr>
          <w:rFonts w:cs="Arial"/>
        </w:rPr>
        <w:t>hand-in-hand</w:t>
      </w:r>
      <w:proofErr w:type="gramEnd"/>
      <w:r w:rsidRPr="00B2137B">
        <w:rPr>
          <w:rFonts w:cs="Arial"/>
        </w:rPr>
        <w:t>, and that commitment has been evident throughout our approach to sustainability across our research, our student experience, and through our innovative campus management and development. Our commitment now extends across the globe as we forge new connections by establishing the University of Birmingham India Institute, as we become the first global top 100 and Russell Group University to establish a campus in Dubai.</w:t>
      </w:r>
    </w:p>
    <w:p w14:paraId="06AD7F28" w14:textId="77777777" w:rsidR="00B13817" w:rsidRDefault="00B13817" w:rsidP="00CC443C">
      <w:pPr>
        <w:spacing w:after="0"/>
        <w:rPr>
          <w:rFonts w:cs="Arial"/>
        </w:rPr>
      </w:pPr>
    </w:p>
    <w:p w14:paraId="48F3D4A2" w14:textId="22C9B26C" w:rsidR="00B13817" w:rsidRPr="00B2137B" w:rsidRDefault="00B13817" w:rsidP="00CC443C">
      <w:pPr>
        <w:spacing w:after="0"/>
        <w:rPr>
          <w:rFonts w:cs="Arial"/>
        </w:rPr>
      </w:pPr>
      <w:r w:rsidRPr="001904AF">
        <w:rPr>
          <w:rFonts w:cs="Arial"/>
        </w:rPr>
        <w:t>The University has a long track record in recognising and addressing global sustainability challenges. Sustainability is one of the six pillars of our 2030 Strategic Framework, which sets out our commitment to use our expertise, partnerships, and innovation to make a major global contribution to the UN Sustainable Development Goals. As part of this, we are working to achieve net-zero carbon, on and off-campus, by 2035 for scopes 1 and 2 and no later than 2045 for scope 3. Further information regarding the University’s sustainability and social responsibility policies and plans is available through the following web link:</w:t>
      </w:r>
      <w:r>
        <w:rPr>
          <w:rFonts w:cs="Arial"/>
        </w:rPr>
        <w:t xml:space="preserve"> </w:t>
      </w:r>
      <w:hyperlink r:id="rId10" w:history="1">
        <w:r w:rsidR="00CC443C" w:rsidRPr="00CC443C">
          <w:rPr>
            <w:rStyle w:val="Hyperlink"/>
            <w:rFonts w:cs="Arial"/>
          </w:rPr>
          <w:t>Social Responsibility – University of Birmingham</w:t>
        </w:r>
      </w:hyperlink>
      <w:r w:rsidR="00CC443C">
        <w:rPr>
          <w:rFonts w:cs="Arial"/>
        </w:rPr>
        <w:t>.</w:t>
      </w:r>
    </w:p>
    <w:p w14:paraId="4D31200B" w14:textId="77777777" w:rsidR="00B13817" w:rsidRDefault="00B13817" w:rsidP="00CC443C">
      <w:pPr>
        <w:spacing w:after="0"/>
        <w:rPr>
          <w:rFonts w:cs="Arial"/>
        </w:rPr>
      </w:pPr>
    </w:p>
    <w:p w14:paraId="598263A0" w14:textId="658D14BE" w:rsidR="00B13817" w:rsidRPr="00B2137B" w:rsidRDefault="00B13817" w:rsidP="00CC443C">
      <w:pPr>
        <w:spacing w:after="0"/>
        <w:rPr>
          <w:rFonts w:cs="Arial"/>
        </w:rPr>
      </w:pPr>
      <w:r w:rsidRPr="00B2137B">
        <w:rPr>
          <w:rFonts w:cs="Arial"/>
        </w:rPr>
        <w:t>Research that takes place at the University of Birmingham impacts on the lives of people regionally, nationally and globally. The University is home to leading academics focusing on global sustainability research and the Sustainable Development Goals. Our Birmingham Heroes campaign brings together the academics who are part of a large teaching and research community dedicated to enquiry, debate and change in transforming health, environment and society.</w:t>
      </w:r>
    </w:p>
    <w:p w14:paraId="7A34CE8F" w14:textId="6A7C74E6" w:rsidR="00B13817" w:rsidRPr="00DE705C" w:rsidRDefault="00B13817" w:rsidP="00CC443C">
      <w:pPr>
        <w:pStyle w:val="Heading2"/>
      </w:pPr>
      <w:bookmarkStart w:id="4" w:name="_Toc188866931"/>
      <w:r w:rsidRPr="00DE705C">
        <w:t xml:space="preserve">Investment of </w:t>
      </w:r>
      <w:r w:rsidR="001D015B">
        <w:t>f</w:t>
      </w:r>
      <w:r w:rsidRPr="00DE705C">
        <w:t>unds</w:t>
      </w:r>
      <w:bookmarkEnd w:id="4"/>
    </w:p>
    <w:p w14:paraId="56E53132" w14:textId="77777777" w:rsidR="00B13817" w:rsidRDefault="00B13817" w:rsidP="00CC443C">
      <w:pPr>
        <w:spacing w:after="0"/>
        <w:rPr>
          <w:rFonts w:cs="Arial"/>
        </w:rPr>
      </w:pPr>
      <w:r>
        <w:rPr>
          <w:rFonts w:cs="Arial"/>
        </w:rPr>
        <w:t xml:space="preserve">The University has appointed an Outsourced Chief Investment Officer (OCIO), J.P. Morgan, to invest and monitor the University’s investment portfolios. The OCIO reports to the University’s Investment Sub-Committee on a quarterly basis. </w:t>
      </w:r>
    </w:p>
    <w:p w14:paraId="319D1EB6" w14:textId="77777777" w:rsidR="00B13817" w:rsidRDefault="00B13817" w:rsidP="00CC443C">
      <w:pPr>
        <w:spacing w:after="0"/>
        <w:rPr>
          <w:rFonts w:cs="Arial"/>
        </w:rPr>
      </w:pPr>
    </w:p>
    <w:p w14:paraId="73AFF3E5" w14:textId="77777777" w:rsidR="00B13817" w:rsidRPr="00B2137B" w:rsidRDefault="00B13817" w:rsidP="00CC443C">
      <w:pPr>
        <w:spacing w:after="0"/>
        <w:rPr>
          <w:rFonts w:cs="Arial"/>
        </w:rPr>
      </w:pPr>
      <w:r w:rsidRPr="00AD2D6B">
        <w:rPr>
          <w:rFonts w:cs="Arial"/>
        </w:rPr>
        <w:lastRenderedPageBreak/>
        <w:t>A separate document, the University of Birmingham Treasury Management and Investment Policy, sets out the objectives for the investment portfolios held by the University.</w:t>
      </w:r>
    </w:p>
    <w:p w14:paraId="402C98D8" w14:textId="77777777" w:rsidR="00B13817" w:rsidRPr="00B2137B" w:rsidRDefault="00B13817" w:rsidP="00CC443C">
      <w:pPr>
        <w:spacing w:after="0"/>
        <w:rPr>
          <w:rFonts w:cs="Arial"/>
        </w:rPr>
      </w:pPr>
    </w:p>
    <w:p w14:paraId="09F06BAA" w14:textId="5C5382E4" w:rsidR="00B13817" w:rsidRPr="00B2137B" w:rsidRDefault="00B13817" w:rsidP="00CC443C">
      <w:pPr>
        <w:spacing w:after="0"/>
        <w:rPr>
          <w:rFonts w:cs="Arial"/>
        </w:rPr>
      </w:pPr>
      <w:r w:rsidRPr="00B2137B">
        <w:rPr>
          <w:rFonts w:cs="Arial"/>
        </w:rPr>
        <w:t xml:space="preserve">The University holds </w:t>
      </w:r>
      <w:r w:rsidR="00106C27" w:rsidRPr="00B2137B">
        <w:rPr>
          <w:rFonts w:cs="Arial"/>
        </w:rPr>
        <w:t>several</w:t>
      </w:r>
      <w:r>
        <w:rPr>
          <w:rFonts w:cs="Arial"/>
        </w:rPr>
        <w:t xml:space="preserve"> different types of investments:</w:t>
      </w:r>
    </w:p>
    <w:p w14:paraId="675F2063" w14:textId="77777777" w:rsidR="00B13817" w:rsidRPr="00B2137B" w:rsidRDefault="00B13817" w:rsidP="00CC443C">
      <w:pPr>
        <w:spacing w:after="0"/>
        <w:rPr>
          <w:rFonts w:cs="Arial"/>
        </w:rPr>
      </w:pPr>
    </w:p>
    <w:p w14:paraId="476A68AE" w14:textId="77777777" w:rsidR="00B13817" w:rsidRPr="00B2137B" w:rsidRDefault="00B13817" w:rsidP="00AF7F4D">
      <w:pPr>
        <w:pStyle w:val="ListParagraph"/>
        <w:numPr>
          <w:ilvl w:val="0"/>
          <w:numId w:val="30"/>
        </w:numPr>
        <w:spacing w:before="0" w:after="0" w:line="276" w:lineRule="auto"/>
        <w:contextualSpacing/>
        <w:rPr>
          <w:rFonts w:cs="Arial"/>
        </w:rPr>
      </w:pPr>
      <w:r w:rsidRPr="00B2137B">
        <w:rPr>
          <w:rFonts w:cs="Arial"/>
        </w:rPr>
        <w:t>Direct investment in subsidiaries and associated companies.  These investments are usually related to the operations of the University; undertake related trading activities; or are involved in the commercialisation of intellectual property.</w:t>
      </w:r>
    </w:p>
    <w:p w14:paraId="583EB892" w14:textId="77777777" w:rsidR="00B13817" w:rsidRPr="00B2137B" w:rsidRDefault="00B13817" w:rsidP="00CC443C">
      <w:pPr>
        <w:spacing w:after="0"/>
        <w:rPr>
          <w:rFonts w:cs="Arial"/>
        </w:rPr>
      </w:pPr>
    </w:p>
    <w:p w14:paraId="793B9F50" w14:textId="18D9923C" w:rsidR="00B13817" w:rsidRPr="00B2137B" w:rsidRDefault="00B13817" w:rsidP="00AF7F4D">
      <w:pPr>
        <w:pStyle w:val="ListParagraph"/>
        <w:numPr>
          <w:ilvl w:val="0"/>
          <w:numId w:val="30"/>
        </w:numPr>
        <w:spacing w:before="0" w:after="0" w:line="276" w:lineRule="auto"/>
        <w:contextualSpacing/>
        <w:rPr>
          <w:rFonts w:cs="Arial"/>
        </w:rPr>
      </w:pPr>
      <w:r w:rsidRPr="00B2137B">
        <w:rPr>
          <w:rFonts w:cs="Arial"/>
        </w:rPr>
        <w:t xml:space="preserve">University funds, which are surplus to the </w:t>
      </w:r>
      <w:r w:rsidR="00106C27" w:rsidRPr="00B2137B">
        <w:rPr>
          <w:rFonts w:cs="Arial"/>
        </w:rPr>
        <w:t>short-term</w:t>
      </w:r>
      <w:r w:rsidRPr="00B2137B">
        <w:rPr>
          <w:rFonts w:cs="Arial"/>
        </w:rPr>
        <w:t xml:space="preserve"> operational needs of the University, are held </w:t>
      </w:r>
      <w:r>
        <w:rPr>
          <w:rFonts w:cs="Arial"/>
        </w:rPr>
        <w:t xml:space="preserve">in the University’s Mid-Term Portfolio </w:t>
      </w:r>
      <w:r w:rsidRPr="00B2137B">
        <w:rPr>
          <w:rFonts w:cs="Arial"/>
        </w:rPr>
        <w:t xml:space="preserve">as </w:t>
      </w:r>
      <w:r w:rsidR="00106C27" w:rsidRPr="00B2137B">
        <w:rPr>
          <w:rFonts w:cs="Arial"/>
        </w:rPr>
        <w:t>longer-term</w:t>
      </w:r>
      <w:r w:rsidRPr="00B2137B">
        <w:rPr>
          <w:rFonts w:cs="Arial"/>
        </w:rPr>
        <w:t xml:space="preserve"> cash</w:t>
      </w:r>
      <w:r>
        <w:rPr>
          <w:rFonts w:cs="Arial"/>
        </w:rPr>
        <w:t xml:space="preserve"> equivalent</w:t>
      </w:r>
      <w:r w:rsidRPr="00B2137B">
        <w:rPr>
          <w:rFonts w:cs="Arial"/>
        </w:rPr>
        <w:t xml:space="preserve"> holdings with enhanced income returns</w:t>
      </w:r>
      <w:r>
        <w:rPr>
          <w:rFonts w:cs="Arial"/>
        </w:rPr>
        <w:t xml:space="preserve">. </w:t>
      </w:r>
      <w:r w:rsidRPr="00B2137B">
        <w:rPr>
          <w:rFonts w:cs="Arial"/>
        </w:rPr>
        <w:t xml:space="preserve">These funds are utilised to fund the University’s capital plan.  </w:t>
      </w:r>
    </w:p>
    <w:p w14:paraId="7F5BBDF0" w14:textId="77777777" w:rsidR="00B13817" w:rsidRPr="00106C27" w:rsidRDefault="00B13817" w:rsidP="00106C27">
      <w:pPr>
        <w:rPr>
          <w:rFonts w:cs="Arial"/>
        </w:rPr>
      </w:pPr>
    </w:p>
    <w:p w14:paraId="7D92A661" w14:textId="77777777" w:rsidR="00B13817" w:rsidRPr="00B2137B" w:rsidRDefault="00B13817" w:rsidP="00AF7F4D">
      <w:pPr>
        <w:pStyle w:val="ListParagraph"/>
        <w:numPr>
          <w:ilvl w:val="0"/>
          <w:numId w:val="30"/>
        </w:numPr>
        <w:spacing w:before="0" w:after="0" w:line="276" w:lineRule="auto"/>
        <w:contextualSpacing/>
        <w:rPr>
          <w:rFonts w:cs="Arial"/>
        </w:rPr>
      </w:pPr>
      <w:r w:rsidRPr="00B2137B">
        <w:rPr>
          <w:rFonts w:cs="Arial"/>
        </w:rPr>
        <w:t>The University’s Long</w:t>
      </w:r>
      <w:r>
        <w:rPr>
          <w:rFonts w:cs="Arial"/>
        </w:rPr>
        <w:t>-</w:t>
      </w:r>
      <w:r w:rsidRPr="00B2137B">
        <w:rPr>
          <w:rFonts w:cs="Arial"/>
        </w:rPr>
        <w:t xml:space="preserve">Term </w:t>
      </w:r>
      <w:r>
        <w:rPr>
          <w:rFonts w:cs="Arial"/>
        </w:rPr>
        <w:t>Portfolio</w:t>
      </w:r>
      <w:r w:rsidRPr="00B2137B">
        <w:rPr>
          <w:rFonts w:cs="Arial"/>
        </w:rPr>
        <w:t xml:space="preserve"> invests the following types of endowments: </w:t>
      </w:r>
    </w:p>
    <w:p w14:paraId="7E05E3BA" w14:textId="77777777" w:rsidR="00B13817" w:rsidRPr="00B2137B" w:rsidRDefault="00B13817" w:rsidP="00CC443C">
      <w:pPr>
        <w:spacing w:after="0"/>
        <w:rPr>
          <w:rFonts w:cs="Arial"/>
        </w:rPr>
      </w:pPr>
    </w:p>
    <w:p w14:paraId="42FE4697" w14:textId="77777777" w:rsidR="00B13817" w:rsidRPr="00B2137B" w:rsidRDefault="00B13817" w:rsidP="00CC443C">
      <w:pPr>
        <w:ind w:left="1134"/>
        <w:rPr>
          <w:rFonts w:cs="Arial"/>
        </w:rPr>
      </w:pPr>
      <w:r w:rsidRPr="00B2137B">
        <w:rPr>
          <w:rFonts w:cs="Arial"/>
          <w:b/>
          <w:bCs/>
        </w:rPr>
        <w:t xml:space="preserve">1. </w:t>
      </w:r>
      <w:r w:rsidRPr="00B2137B">
        <w:rPr>
          <w:rFonts w:cs="Arial"/>
        </w:rPr>
        <w:t xml:space="preserve">Unrestricted permanent endowments – the donor has specified that the fund is to be permanently invested and generate an income stream for the general benefit of the </w:t>
      </w:r>
      <w:proofErr w:type="gramStart"/>
      <w:r w:rsidRPr="00B2137B">
        <w:rPr>
          <w:rFonts w:cs="Arial"/>
        </w:rPr>
        <w:t>University;</w:t>
      </w:r>
      <w:proofErr w:type="gramEnd"/>
      <w:r w:rsidRPr="00B2137B">
        <w:rPr>
          <w:rFonts w:cs="Arial"/>
        </w:rPr>
        <w:t xml:space="preserve"> </w:t>
      </w:r>
    </w:p>
    <w:p w14:paraId="2FE6D79D" w14:textId="77777777" w:rsidR="00B13817" w:rsidRPr="00B2137B" w:rsidRDefault="00B13817" w:rsidP="00CC443C">
      <w:pPr>
        <w:ind w:left="1134"/>
        <w:rPr>
          <w:rFonts w:cs="Arial"/>
        </w:rPr>
      </w:pPr>
      <w:r w:rsidRPr="00B2137B">
        <w:rPr>
          <w:rFonts w:cs="Arial"/>
          <w:b/>
          <w:bCs/>
        </w:rPr>
        <w:t xml:space="preserve">2. </w:t>
      </w:r>
      <w:r w:rsidRPr="00B2137B">
        <w:rPr>
          <w:rFonts w:cs="Arial"/>
        </w:rPr>
        <w:t xml:space="preserve">Restricted expendable endowments – the donor has specified a particular objective other than fixed assets and the University has the power to use capital over the medium </w:t>
      </w:r>
      <w:proofErr w:type="gramStart"/>
      <w:r w:rsidRPr="00B2137B">
        <w:rPr>
          <w:rFonts w:cs="Arial"/>
        </w:rPr>
        <w:t>term;</w:t>
      </w:r>
      <w:proofErr w:type="gramEnd"/>
    </w:p>
    <w:p w14:paraId="45EA63D2" w14:textId="77777777" w:rsidR="00B13817" w:rsidRPr="00B2137B" w:rsidRDefault="00B13817" w:rsidP="00CC443C">
      <w:pPr>
        <w:ind w:left="1134"/>
        <w:rPr>
          <w:rFonts w:cs="Arial"/>
        </w:rPr>
      </w:pPr>
      <w:r w:rsidRPr="00B2137B">
        <w:rPr>
          <w:rFonts w:cs="Arial"/>
          <w:b/>
          <w:bCs/>
        </w:rPr>
        <w:t xml:space="preserve">3. </w:t>
      </w:r>
      <w:r w:rsidRPr="00B2137B">
        <w:rPr>
          <w:rFonts w:cs="Arial"/>
        </w:rPr>
        <w:t>Restricted permanent endowments – the donor has specified that the fund is to be permanently invested to generate an income stream to be applied to a particular objective.</w:t>
      </w:r>
    </w:p>
    <w:p w14:paraId="4C045B8F" w14:textId="77777777" w:rsidR="00B13817" w:rsidRDefault="00B13817" w:rsidP="00CC443C">
      <w:pPr>
        <w:spacing w:after="0"/>
        <w:ind w:left="1134"/>
        <w:rPr>
          <w:rFonts w:cs="Arial"/>
          <w:bCs/>
        </w:rPr>
      </w:pPr>
      <w:r w:rsidRPr="00B2137B">
        <w:rPr>
          <w:rFonts w:cs="Arial"/>
          <w:bCs/>
        </w:rPr>
        <w:t>The endowment fund invests in perpetuity and invests in bonds, equities, property</w:t>
      </w:r>
      <w:r>
        <w:rPr>
          <w:rFonts w:cs="Arial"/>
          <w:bCs/>
        </w:rPr>
        <w:t xml:space="preserve">, </w:t>
      </w:r>
      <w:r w:rsidRPr="00B2137B">
        <w:rPr>
          <w:rFonts w:cs="Arial"/>
          <w:bCs/>
        </w:rPr>
        <w:t>infrastructure</w:t>
      </w:r>
      <w:r>
        <w:rPr>
          <w:rFonts w:cs="Arial"/>
          <w:bCs/>
        </w:rPr>
        <w:t>, private credit, private equity and sustainable forestry</w:t>
      </w:r>
      <w:r w:rsidRPr="00B2137B">
        <w:rPr>
          <w:rFonts w:cs="Arial"/>
          <w:bCs/>
        </w:rPr>
        <w:t xml:space="preserve">. </w:t>
      </w:r>
    </w:p>
    <w:p w14:paraId="5E3968D8" w14:textId="77777777" w:rsidR="00B13817" w:rsidRDefault="00B13817" w:rsidP="00CC443C">
      <w:pPr>
        <w:spacing w:after="0"/>
        <w:ind w:left="1134"/>
        <w:rPr>
          <w:rFonts w:cs="Arial"/>
          <w:bCs/>
        </w:rPr>
      </w:pPr>
    </w:p>
    <w:p w14:paraId="23BEA277" w14:textId="096AB2B8" w:rsidR="00B13817" w:rsidRPr="00B2137B" w:rsidRDefault="00B13817" w:rsidP="00CC443C">
      <w:pPr>
        <w:pStyle w:val="Heading2"/>
      </w:pPr>
      <w:bookmarkStart w:id="5" w:name="_Toc188866932"/>
      <w:r w:rsidRPr="00B2137B">
        <w:t xml:space="preserve">Investment </w:t>
      </w:r>
      <w:r w:rsidR="001D015B">
        <w:t>p</w:t>
      </w:r>
      <w:r w:rsidRPr="00B2137B">
        <w:t>rinciples</w:t>
      </w:r>
      <w:bookmarkEnd w:id="5"/>
      <w:r w:rsidRPr="00B2137B">
        <w:t xml:space="preserve"> </w:t>
      </w:r>
    </w:p>
    <w:p w14:paraId="636B8732" w14:textId="77777777" w:rsidR="00B13817" w:rsidRPr="00B2137B" w:rsidRDefault="00B13817" w:rsidP="00CC443C">
      <w:pPr>
        <w:rPr>
          <w:rFonts w:cs="Arial"/>
        </w:rPr>
      </w:pPr>
      <w:r w:rsidRPr="00B2137B">
        <w:rPr>
          <w:rFonts w:cs="Arial"/>
        </w:rPr>
        <w:t xml:space="preserve">The University has identified three sets of principles </w:t>
      </w:r>
      <w:r w:rsidRPr="00A64F96">
        <w:rPr>
          <w:rFonts w:cs="Arial"/>
        </w:rPr>
        <w:t xml:space="preserve">which </w:t>
      </w:r>
      <w:r>
        <w:rPr>
          <w:rFonts w:cs="Arial"/>
        </w:rPr>
        <w:t>accord with its values as a socially responsible institution.</w:t>
      </w:r>
      <w:r w:rsidRPr="00B2137B">
        <w:rPr>
          <w:rFonts w:cs="Arial"/>
        </w:rPr>
        <w:t xml:space="preserve"> Firstly, </w:t>
      </w:r>
      <w:r>
        <w:rPr>
          <w:rFonts w:cs="Arial"/>
        </w:rPr>
        <w:t>the s</w:t>
      </w:r>
      <w:r w:rsidRPr="00B2137B">
        <w:rPr>
          <w:rFonts w:cs="Arial"/>
        </w:rPr>
        <w:t>tewardship of the operations of its</w:t>
      </w:r>
      <w:r>
        <w:rPr>
          <w:rFonts w:cs="Arial"/>
        </w:rPr>
        <w:t xml:space="preserve"> OCIO;</w:t>
      </w:r>
      <w:r w:rsidRPr="00B2137B">
        <w:rPr>
          <w:rFonts w:cs="Arial"/>
        </w:rPr>
        <w:t xml:space="preserve"> secondly </w:t>
      </w:r>
      <w:r>
        <w:rPr>
          <w:rFonts w:cs="Arial"/>
        </w:rPr>
        <w:t>environmental, social and g</w:t>
      </w:r>
      <w:r w:rsidRPr="00B2137B">
        <w:rPr>
          <w:rFonts w:cs="Arial"/>
        </w:rPr>
        <w:t>overnance (ESG) integration into its investment operations and governance practices</w:t>
      </w:r>
      <w:r>
        <w:rPr>
          <w:rFonts w:cs="Arial"/>
        </w:rPr>
        <w:t>;</w:t>
      </w:r>
      <w:r w:rsidRPr="00B2137B">
        <w:rPr>
          <w:rFonts w:cs="Arial"/>
        </w:rPr>
        <w:t xml:space="preserve"> and thirdly setting appropriate standards for all its investments through criteria that the University’s </w:t>
      </w:r>
      <w:r>
        <w:rPr>
          <w:rFonts w:cs="Arial"/>
        </w:rPr>
        <w:t>OCIO is obligated</w:t>
      </w:r>
      <w:r w:rsidRPr="00B2137B">
        <w:rPr>
          <w:rFonts w:cs="Arial"/>
        </w:rPr>
        <w:t xml:space="preserve"> </w:t>
      </w:r>
      <w:r w:rsidRPr="003B083F">
        <w:rPr>
          <w:rFonts w:cs="Arial"/>
        </w:rPr>
        <w:t xml:space="preserve">to </w:t>
      </w:r>
      <w:r w:rsidRPr="00E853D7">
        <w:rPr>
          <w:rFonts w:cs="Arial"/>
        </w:rPr>
        <w:t>comply with</w:t>
      </w:r>
      <w:r w:rsidRPr="003B083F">
        <w:rPr>
          <w:rFonts w:cs="Arial"/>
        </w:rPr>
        <w:t xml:space="preserve"> when</w:t>
      </w:r>
      <w:r w:rsidRPr="00B2137B">
        <w:rPr>
          <w:rFonts w:cs="Arial"/>
        </w:rPr>
        <w:t xml:space="preserve"> investing the University’s funds. </w:t>
      </w:r>
    </w:p>
    <w:p w14:paraId="2F2E6C72" w14:textId="77777777" w:rsidR="00B13817" w:rsidRPr="00B2137B" w:rsidRDefault="00B13817" w:rsidP="00CC443C">
      <w:pPr>
        <w:pStyle w:val="Heading2"/>
      </w:pPr>
      <w:bookmarkStart w:id="6" w:name="_Toc188866933"/>
      <w:r w:rsidRPr="00B2137B">
        <w:lastRenderedPageBreak/>
        <w:t>Stewardship</w:t>
      </w:r>
      <w:bookmarkEnd w:id="6"/>
    </w:p>
    <w:p w14:paraId="23031EBE" w14:textId="6C08275C" w:rsidR="00B13817" w:rsidRPr="00B2137B" w:rsidRDefault="00B13817" w:rsidP="00CC443C">
      <w:pPr>
        <w:rPr>
          <w:rFonts w:cs="Arial"/>
        </w:rPr>
      </w:pPr>
      <w:r w:rsidRPr="00B2137B">
        <w:rPr>
          <w:rFonts w:cs="Arial"/>
        </w:rPr>
        <w:t>The</w:t>
      </w:r>
      <w:r>
        <w:rPr>
          <w:rFonts w:cs="Arial"/>
        </w:rPr>
        <w:t xml:space="preserve"> OCIO </w:t>
      </w:r>
      <w:r w:rsidRPr="00B2137B">
        <w:rPr>
          <w:rFonts w:cs="Arial"/>
        </w:rPr>
        <w:t>that oversee</w:t>
      </w:r>
      <w:r>
        <w:rPr>
          <w:rFonts w:cs="Arial"/>
        </w:rPr>
        <w:t>s</w:t>
      </w:r>
      <w:r w:rsidRPr="00B2137B">
        <w:rPr>
          <w:rFonts w:cs="Arial"/>
        </w:rPr>
        <w:t xml:space="preserve"> the investment funds of the University work</w:t>
      </w:r>
      <w:r>
        <w:rPr>
          <w:rFonts w:cs="Arial"/>
        </w:rPr>
        <w:t>s</w:t>
      </w:r>
      <w:r w:rsidRPr="00B2137B">
        <w:rPr>
          <w:rFonts w:cs="Arial"/>
        </w:rPr>
        <w:t xml:space="preserve"> to </w:t>
      </w:r>
      <w:r>
        <w:rPr>
          <w:rFonts w:cs="Arial"/>
        </w:rPr>
        <w:t xml:space="preserve">an </w:t>
      </w:r>
      <w:r w:rsidRPr="00B2137B">
        <w:rPr>
          <w:rFonts w:cs="Arial"/>
        </w:rPr>
        <w:t>agreed investment mandate. In developing th</w:t>
      </w:r>
      <w:r>
        <w:rPr>
          <w:rFonts w:cs="Arial"/>
        </w:rPr>
        <w:t>is</w:t>
      </w:r>
      <w:r w:rsidRPr="00B2137B">
        <w:rPr>
          <w:rFonts w:cs="Arial"/>
        </w:rPr>
        <w:t xml:space="preserve"> </w:t>
      </w:r>
      <w:r w:rsidR="000B3FFB" w:rsidRPr="00B2137B">
        <w:rPr>
          <w:rFonts w:cs="Arial"/>
        </w:rPr>
        <w:t>mandate,</w:t>
      </w:r>
      <w:r w:rsidRPr="00B2137B">
        <w:rPr>
          <w:rFonts w:cs="Arial"/>
        </w:rPr>
        <w:t xml:space="preserve"> the University set a fundamental principle that </w:t>
      </w:r>
      <w:r>
        <w:rPr>
          <w:rFonts w:cs="Arial"/>
        </w:rPr>
        <w:t xml:space="preserve">the OCIO </w:t>
      </w:r>
      <w:r w:rsidRPr="00B2137B">
        <w:rPr>
          <w:rFonts w:cs="Arial"/>
        </w:rPr>
        <w:t>must apply investment criteria based on environmental, social and governance (ESG) standards. As part of our</w:t>
      </w:r>
      <w:r>
        <w:rPr>
          <w:rFonts w:cs="Arial"/>
        </w:rPr>
        <w:t xml:space="preserve"> OCIO </w:t>
      </w:r>
      <w:r w:rsidRPr="00B2137B">
        <w:rPr>
          <w:rFonts w:cs="Arial"/>
        </w:rPr>
        <w:t>selection process, the University requires</w:t>
      </w:r>
      <w:r>
        <w:rPr>
          <w:rFonts w:cs="Arial"/>
        </w:rPr>
        <w:t xml:space="preserve"> the OCIO </w:t>
      </w:r>
      <w:r w:rsidRPr="00B2137B">
        <w:rPr>
          <w:rFonts w:cs="Arial"/>
        </w:rPr>
        <w:t xml:space="preserve">to confirm that they have robust ESG policies in place. During the University’s regular performance review of the </w:t>
      </w:r>
      <w:r>
        <w:rPr>
          <w:rFonts w:cs="Arial"/>
        </w:rPr>
        <w:t>OCIO</w:t>
      </w:r>
      <w:r w:rsidRPr="00B2137B">
        <w:rPr>
          <w:rFonts w:cs="Arial"/>
        </w:rPr>
        <w:t>, we consider their application of ESG policies in making investment decisions.</w:t>
      </w:r>
    </w:p>
    <w:p w14:paraId="49BF23E2" w14:textId="17B39E50" w:rsidR="00B13817" w:rsidRPr="00B2137B" w:rsidRDefault="00B13817" w:rsidP="00CC443C">
      <w:pPr>
        <w:rPr>
          <w:rFonts w:cs="Arial"/>
        </w:rPr>
      </w:pPr>
      <w:r w:rsidRPr="00172634">
        <w:rPr>
          <w:rFonts w:cs="Arial"/>
        </w:rPr>
        <w:t xml:space="preserve">As the University </w:t>
      </w:r>
      <w:r w:rsidRPr="001A03AE">
        <w:rPr>
          <w:rFonts w:cs="Arial"/>
        </w:rPr>
        <w:t xml:space="preserve">delegates the </w:t>
      </w:r>
      <w:r w:rsidR="00CC443C" w:rsidRPr="001A03AE">
        <w:rPr>
          <w:rFonts w:cs="Arial"/>
        </w:rPr>
        <w:t>day-to-day</w:t>
      </w:r>
      <w:r w:rsidRPr="001A03AE">
        <w:rPr>
          <w:rFonts w:cs="Arial"/>
        </w:rPr>
        <w:t xml:space="preserve"> investment management to the OCIO it expects them to evidence their </w:t>
      </w:r>
      <w:r>
        <w:rPr>
          <w:rFonts w:cs="Arial"/>
        </w:rPr>
        <w:t xml:space="preserve">regular </w:t>
      </w:r>
      <w:r w:rsidRPr="001A03AE">
        <w:rPr>
          <w:rFonts w:cs="Arial"/>
        </w:rPr>
        <w:t xml:space="preserve">monitoring of active ownership policies and actions </w:t>
      </w:r>
      <w:r w:rsidRPr="00E853D7">
        <w:rPr>
          <w:rFonts w:cs="Arial"/>
        </w:rPr>
        <w:t>of the pooled funds, in which they have invested the University’s funds</w:t>
      </w:r>
      <w:r>
        <w:rPr>
          <w:rFonts w:cs="Arial"/>
        </w:rPr>
        <w:t>.</w:t>
      </w:r>
    </w:p>
    <w:p w14:paraId="44D06C2B" w14:textId="596F6358" w:rsidR="00B13817" w:rsidRPr="00B2137B" w:rsidRDefault="00B13817" w:rsidP="00CC443C">
      <w:pPr>
        <w:spacing w:after="0"/>
        <w:rPr>
          <w:rFonts w:cs="Arial"/>
        </w:rPr>
      </w:pPr>
      <w:r w:rsidRPr="00B2137B">
        <w:rPr>
          <w:rFonts w:cs="Arial"/>
        </w:rPr>
        <w:t xml:space="preserve">The University believes that in investing its funds, regard must be made to social, environmental and governance factors. In making investment decisions the University expects its appointed </w:t>
      </w:r>
      <w:r>
        <w:rPr>
          <w:rFonts w:cs="Arial"/>
        </w:rPr>
        <w:t xml:space="preserve">OCIO </w:t>
      </w:r>
      <w:r w:rsidRPr="00B2137B">
        <w:rPr>
          <w:rFonts w:cs="Arial"/>
        </w:rPr>
        <w:t xml:space="preserve">to </w:t>
      </w:r>
      <w:r>
        <w:rPr>
          <w:rFonts w:cs="Arial"/>
        </w:rPr>
        <w:t>take into consideration</w:t>
      </w:r>
      <w:r w:rsidRPr="00B2137B">
        <w:rPr>
          <w:rFonts w:cs="Arial"/>
        </w:rPr>
        <w:t xml:space="preserve"> the following areas</w:t>
      </w:r>
      <w:r w:rsidR="000B3FFB">
        <w:rPr>
          <w:rFonts w:cs="Arial"/>
        </w:rPr>
        <w:t>:</w:t>
      </w:r>
    </w:p>
    <w:p w14:paraId="0AD28A03" w14:textId="77777777" w:rsidR="00B13817" w:rsidRPr="00B2137B" w:rsidRDefault="00B13817" w:rsidP="00CC443C">
      <w:pPr>
        <w:spacing w:after="0"/>
        <w:rPr>
          <w:rFonts w:cs="Arial"/>
        </w:rPr>
      </w:pPr>
    </w:p>
    <w:p w14:paraId="4A054724" w14:textId="77777777" w:rsidR="00B13817" w:rsidRPr="00B2137B" w:rsidRDefault="00B13817" w:rsidP="00106C27">
      <w:pPr>
        <w:pStyle w:val="ListParagraph"/>
        <w:numPr>
          <w:ilvl w:val="0"/>
          <w:numId w:val="31"/>
        </w:numPr>
        <w:spacing w:before="0" w:after="0" w:line="276" w:lineRule="auto"/>
        <w:contextualSpacing/>
        <w:rPr>
          <w:rFonts w:cs="Arial"/>
        </w:rPr>
      </w:pPr>
      <w:r w:rsidRPr="00B2137B">
        <w:rPr>
          <w:rFonts w:cs="Arial"/>
        </w:rPr>
        <w:t xml:space="preserve">Promotion of human rights, including but not limited to the equality of gender, race and </w:t>
      </w:r>
      <w:proofErr w:type="gramStart"/>
      <w:r w:rsidRPr="00B2137B">
        <w:rPr>
          <w:rFonts w:cs="Arial"/>
        </w:rPr>
        <w:t>sexuality;</w:t>
      </w:r>
      <w:proofErr w:type="gramEnd"/>
    </w:p>
    <w:p w14:paraId="478716CE" w14:textId="77777777" w:rsidR="00B13817" w:rsidRPr="00B2137B" w:rsidRDefault="00B13817" w:rsidP="00106C27">
      <w:pPr>
        <w:pStyle w:val="ListParagraph"/>
        <w:numPr>
          <w:ilvl w:val="0"/>
          <w:numId w:val="31"/>
        </w:numPr>
        <w:spacing w:before="0" w:after="0" w:line="276" w:lineRule="auto"/>
        <w:contextualSpacing/>
        <w:rPr>
          <w:rFonts w:cs="Arial"/>
        </w:rPr>
      </w:pPr>
      <w:r w:rsidRPr="00B2137B">
        <w:rPr>
          <w:rFonts w:cs="Arial"/>
        </w:rPr>
        <w:t xml:space="preserve">Promotion of good business ethics and good employment </w:t>
      </w:r>
      <w:proofErr w:type="gramStart"/>
      <w:r w:rsidRPr="00B2137B">
        <w:rPr>
          <w:rFonts w:cs="Arial"/>
        </w:rPr>
        <w:t>practices;</w:t>
      </w:r>
      <w:proofErr w:type="gramEnd"/>
    </w:p>
    <w:p w14:paraId="2482B7CD" w14:textId="77777777" w:rsidR="00B13817" w:rsidRPr="00D7002F" w:rsidRDefault="00B13817" w:rsidP="00106C27">
      <w:pPr>
        <w:pStyle w:val="ListParagraph"/>
        <w:numPr>
          <w:ilvl w:val="0"/>
          <w:numId w:val="31"/>
        </w:numPr>
        <w:spacing w:before="0" w:after="0" w:line="276" w:lineRule="auto"/>
        <w:contextualSpacing/>
        <w:rPr>
          <w:rFonts w:cs="Arial"/>
        </w:rPr>
      </w:pPr>
      <w:r w:rsidRPr="00D7002F">
        <w:rPr>
          <w:rFonts w:cs="Arial"/>
        </w:rPr>
        <w:t>Protection of the global environment, its climate and its biodiversity; and</w:t>
      </w:r>
    </w:p>
    <w:p w14:paraId="45D1FA94" w14:textId="77777777" w:rsidR="00B13817" w:rsidRPr="00B2137B" w:rsidRDefault="00B13817" w:rsidP="00106C27">
      <w:pPr>
        <w:pStyle w:val="ListParagraph"/>
        <w:numPr>
          <w:ilvl w:val="0"/>
          <w:numId w:val="31"/>
        </w:numPr>
        <w:spacing w:before="0" w:after="0" w:line="276" w:lineRule="auto"/>
        <w:contextualSpacing/>
        <w:rPr>
          <w:rFonts w:cs="Arial"/>
        </w:rPr>
      </w:pPr>
      <w:r w:rsidRPr="00D7002F">
        <w:rPr>
          <w:rFonts w:cs="Arial"/>
        </w:rPr>
        <w:t>Promotion</w:t>
      </w:r>
      <w:r w:rsidRPr="00B2137B">
        <w:rPr>
          <w:rFonts w:cs="Arial"/>
        </w:rPr>
        <w:t xml:space="preserve"> of international co-operation and an end to international conflict including a prohibition of companies which produce armaments.</w:t>
      </w:r>
    </w:p>
    <w:p w14:paraId="2386E811" w14:textId="77777777" w:rsidR="00B13817" w:rsidRPr="00B2137B" w:rsidRDefault="00B13817" w:rsidP="00CC443C">
      <w:pPr>
        <w:spacing w:after="0"/>
        <w:rPr>
          <w:rFonts w:cs="Arial"/>
        </w:rPr>
      </w:pPr>
    </w:p>
    <w:p w14:paraId="0981A806" w14:textId="77777777" w:rsidR="00B13817" w:rsidRPr="00B2137B" w:rsidRDefault="00B13817" w:rsidP="00CC443C">
      <w:pPr>
        <w:spacing w:after="0"/>
        <w:rPr>
          <w:rFonts w:cs="Arial"/>
        </w:rPr>
      </w:pPr>
      <w:r w:rsidRPr="00B2137B">
        <w:rPr>
          <w:rFonts w:cs="Arial"/>
        </w:rPr>
        <w:t xml:space="preserve">While operating with these criteria, </w:t>
      </w:r>
      <w:r>
        <w:rPr>
          <w:rFonts w:cs="Arial"/>
        </w:rPr>
        <w:t xml:space="preserve">the </w:t>
      </w:r>
      <w:r w:rsidRPr="00B2137B">
        <w:rPr>
          <w:rFonts w:cs="Arial"/>
        </w:rPr>
        <w:t>appointed</w:t>
      </w:r>
      <w:r>
        <w:rPr>
          <w:rFonts w:cs="Arial"/>
        </w:rPr>
        <w:t xml:space="preserve"> OCIO is </w:t>
      </w:r>
      <w:r w:rsidRPr="00B2137B">
        <w:rPr>
          <w:rFonts w:cs="Arial"/>
        </w:rPr>
        <w:t xml:space="preserve">left at their discretion to </w:t>
      </w:r>
      <w:r>
        <w:rPr>
          <w:rFonts w:cs="Arial"/>
        </w:rPr>
        <w:t xml:space="preserve">manage direct bond and stock holdings, and to </w:t>
      </w:r>
      <w:r w:rsidRPr="00B2137B">
        <w:rPr>
          <w:rFonts w:cs="Arial"/>
        </w:rPr>
        <w:t xml:space="preserve">select individual </w:t>
      </w:r>
      <w:r>
        <w:rPr>
          <w:rFonts w:cs="Arial"/>
        </w:rPr>
        <w:t>pooled funds, to operate within their own Responsible Investment P</w:t>
      </w:r>
      <w:r w:rsidRPr="00B2137B">
        <w:rPr>
          <w:rFonts w:cs="Arial"/>
        </w:rPr>
        <w:t xml:space="preserve">olicy.  </w:t>
      </w:r>
    </w:p>
    <w:p w14:paraId="4E17AB78" w14:textId="77777777" w:rsidR="00B13817" w:rsidRPr="00B2137B" w:rsidRDefault="00B13817" w:rsidP="00CC443C">
      <w:pPr>
        <w:spacing w:after="0"/>
        <w:rPr>
          <w:rFonts w:cs="Arial"/>
          <w:color w:val="FF0000"/>
        </w:rPr>
      </w:pPr>
    </w:p>
    <w:p w14:paraId="7D1A0AC2" w14:textId="77777777" w:rsidR="00B13817" w:rsidRPr="00B2137B" w:rsidRDefault="00B13817" w:rsidP="00CC443C">
      <w:pPr>
        <w:spacing w:after="0"/>
        <w:rPr>
          <w:rFonts w:cs="Arial"/>
        </w:rPr>
      </w:pPr>
      <w:r w:rsidRPr="00B2137B">
        <w:rPr>
          <w:rFonts w:cs="Arial"/>
        </w:rPr>
        <w:t xml:space="preserve">The University expects </w:t>
      </w:r>
      <w:r>
        <w:rPr>
          <w:rFonts w:cs="Arial"/>
        </w:rPr>
        <w:t>the</w:t>
      </w:r>
      <w:r w:rsidRPr="00B2137B">
        <w:rPr>
          <w:rFonts w:cs="Arial"/>
        </w:rPr>
        <w:t xml:space="preserve"> </w:t>
      </w:r>
      <w:r>
        <w:rPr>
          <w:rFonts w:cs="Arial"/>
        </w:rPr>
        <w:t>OCIO</w:t>
      </w:r>
      <w:r w:rsidRPr="00B2137B">
        <w:rPr>
          <w:rFonts w:cs="Arial"/>
        </w:rPr>
        <w:t xml:space="preserve">, as part of their normal investment research and analysis process, to take account of environmental, social, and governance (ESG) factors in the selection, retention and realisation of investments. The University considers that companies’ effective management of the risks associated with ESG matters can lead to long term financial benefits. </w:t>
      </w:r>
    </w:p>
    <w:p w14:paraId="6B1BB174" w14:textId="77777777" w:rsidR="00B13817" w:rsidRPr="00B2137B" w:rsidRDefault="00B13817" w:rsidP="00CC443C">
      <w:pPr>
        <w:spacing w:after="0"/>
        <w:rPr>
          <w:rFonts w:cs="Arial"/>
        </w:rPr>
      </w:pPr>
    </w:p>
    <w:p w14:paraId="10F81645" w14:textId="57241785" w:rsidR="00B13817" w:rsidRPr="00B2137B" w:rsidRDefault="00B13817" w:rsidP="00CC443C">
      <w:pPr>
        <w:spacing w:after="0"/>
        <w:rPr>
          <w:rFonts w:cs="Arial"/>
        </w:rPr>
      </w:pPr>
      <w:r w:rsidRPr="00B2137B">
        <w:rPr>
          <w:rFonts w:cs="Arial"/>
        </w:rPr>
        <w:t xml:space="preserve">The University requires </w:t>
      </w:r>
      <w:r>
        <w:rPr>
          <w:rFonts w:cs="Arial"/>
        </w:rPr>
        <w:t>the</w:t>
      </w:r>
      <w:r w:rsidRPr="00B2137B">
        <w:rPr>
          <w:rFonts w:cs="Arial"/>
        </w:rPr>
        <w:t xml:space="preserve"> </w:t>
      </w:r>
      <w:r>
        <w:rPr>
          <w:rFonts w:cs="Arial"/>
        </w:rPr>
        <w:t xml:space="preserve">OCIO </w:t>
      </w:r>
      <w:r w:rsidRPr="00B2137B">
        <w:rPr>
          <w:rFonts w:cs="Arial"/>
        </w:rPr>
        <w:t xml:space="preserve">to have adopted the UN Principles for Responsible </w:t>
      </w:r>
      <w:r w:rsidRPr="008C79DF">
        <w:rPr>
          <w:rFonts w:cs="Arial"/>
        </w:rPr>
        <w:t>Investment and encourages them to</w:t>
      </w:r>
      <w:r w:rsidRPr="00E853D7">
        <w:rPr>
          <w:rFonts w:cs="Arial"/>
        </w:rPr>
        <w:t xml:space="preserve"> invest in pooled funds that</w:t>
      </w:r>
      <w:r w:rsidRPr="008C79DF">
        <w:rPr>
          <w:rFonts w:cs="Arial"/>
        </w:rPr>
        <w:t xml:space="preserve"> hold companies to account by active engagement on corporate governance and </w:t>
      </w:r>
      <w:r>
        <w:rPr>
          <w:rFonts w:cs="Arial"/>
        </w:rPr>
        <w:t xml:space="preserve">the </w:t>
      </w:r>
      <w:r w:rsidRPr="008C79DF">
        <w:rPr>
          <w:rFonts w:cs="Arial"/>
        </w:rPr>
        <w:t>use</w:t>
      </w:r>
      <w:r>
        <w:rPr>
          <w:rFonts w:cs="Arial"/>
        </w:rPr>
        <w:t xml:space="preserve"> of</w:t>
      </w:r>
      <w:r w:rsidRPr="008C79DF">
        <w:rPr>
          <w:rFonts w:cs="Arial"/>
        </w:rPr>
        <w:t xml:space="preserve"> shareholder voting rights to influence company behaviour.</w:t>
      </w:r>
      <w:r w:rsidRPr="00B2137B">
        <w:rPr>
          <w:rFonts w:cs="Arial"/>
        </w:rPr>
        <w:t xml:space="preserve"> </w:t>
      </w:r>
    </w:p>
    <w:p w14:paraId="187B1A27" w14:textId="77777777" w:rsidR="00B13817" w:rsidRDefault="00B13817" w:rsidP="00CC443C">
      <w:pPr>
        <w:spacing w:after="0"/>
        <w:rPr>
          <w:rFonts w:cs="Arial"/>
        </w:rPr>
      </w:pPr>
    </w:p>
    <w:p w14:paraId="35151551" w14:textId="04B10DE3" w:rsidR="00B13817" w:rsidRDefault="00B13817" w:rsidP="00CC443C">
      <w:pPr>
        <w:spacing w:after="0"/>
        <w:rPr>
          <w:rFonts w:cs="Arial"/>
        </w:rPr>
      </w:pPr>
      <w:r w:rsidRPr="00B2137B">
        <w:rPr>
          <w:rFonts w:cs="Arial"/>
        </w:rPr>
        <w:t xml:space="preserve">The appointed </w:t>
      </w:r>
      <w:r>
        <w:rPr>
          <w:rFonts w:cs="Arial"/>
        </w:rPr>
        <w:t xml:space="preserve">OCIO is </w:t>
      </w:r>
      <w:r w:rsidRPr="00B2137B">
        <w:rPr>
          <w:rFonts w:cs="Arial"/>
        </w:rPr>
        <w:t xml:space="preserve">required to report regularly to Investment Sub-Committee through the provision of quarterly investment reports </w:t>
      </w:r>
      <w:r>
        <w:rPr>
          <w:rFonts w:cs="Arial"/>
        </w:rPr>
        <w:t xml:space="preserve">and an annual environmental, </w:t>
      </w:r>
      <w:r>
        <w:rPr>
          <w:rFonts w:cs="Arial"/>
        </w:rPr>
        <w:lastRenderedPageBreak/>
        <w:t>social and g</w:t>
      </w:r>
      <w:r w:rsidRPr="00B2137B">
        <w:rPr>
          <w:rFonts w:cs="Arial"/>
        </w:rPr>
        <w:t xml:space="preserve">overnance report. Quarterly investment reports are required to contain detail on the active engagement with companies that the </w:t>
      </w:r>
      <w:r>
        <w:rPr>
          <w:rFonts w:cs="Arial"/>
        </w:rPr>
        <w:t xml:space="preserve">OCIO and/or underlying pooled fund </w:t>
      </w:r>
      <w:r w:rsidRPr="00B2137B">
        <w:rPr>
          <w:rFonts w:cs="Arial"/>
        </w:rPr>
        <w:t>has undertaken</w:t>
      </w:r>
      <w:r>
        <w:rPr>
          <w:rFonts w:cs="Arial"/>
        </w:rPr>
        <w:t>,</w:t>
      </w:r>
      <w:r w:rsidRPr="00B2137B">
        <w:rPr>
          <w:rFonts w:cs="Arial"/>
        </w:rPr>
        <w:t xml:space="preserve"> and shareholder voting activity. The </w:t>
      </w:r>
      <w:r>
        <w:rPr>
          <w:rFonts w:cs="Arial"/>
        </w:rPr>
        <w:t xml:space="preserve">OCIO </w:t>
      </w:r>
      <w:r w:rsidRPr="00B2137B">
        <w:rPr>
          <w:rFonts w:cs="Arial"/>
        </w:rPr>
        <w:t xml:space="preserve">will engage directly with the Investment Sub-Committee through attendance at </w:t>
      </w:r>
      <w:r>
        <w:rPr>
          <w:rFonts w:cs="Arial"/>
        </w:rPr>
        <w:t>quarterly</w:t>
      </w:r>
      <w:r w:rsidRPr="00B2137B">
        <w:rPr>
          <w:rFonts w:cs="Arial"/>
        </w:rPr>
        <w:t xml:space="preserve"> Investment Sub-Committee review meetings. </w:t>
      </w:r>
    </w:p>
    <w:p w14:paraId="04DF9DF8" w14:textId="7269758E" w:rsidR="00B13817" w:rsidRPr="00B2137B" w:rsidRDefault="00B13817" w:rsidP="00CC443C">
      <w:pPr>
        <w:pStyle w:val="Heading2"/>
      </w:pPr>
      <w:bookmarkStart w:id="7" w:name="_Toc188866934"/>
      <w:r w:rsidRPr="00B2137B">
        <w:t xml:space="preserve">Environmental, Social and </w:t>
      </w:r>
      <w:r>
        <w:t xml:space="preserve">Corporate </w:t>
      </w:r>
      <w:r w:rsidRPr="00B2137B">
        <w:t xml:space="preserve">Governance (ESG) </w:t>
      </w:r>
      <w:r w:rsidR="001D015B">
        <w:t>i</w:t>
      </w:r>
      <w:r w:rsidRPr="00B2137B">
        <w:t>ntegration</w:t>
      </w:r>
      <w:bookmarkEnd w:id="7"/>
    </w:p>
    <w:p w14:paraId="70E25CB3" w14:textId="77777777" w:rsidR="00B13817" w:rsidRDefault="00B13817" w:rsidP="00CC443C">
      <w:pPr>
        <w:spacing w:after="0"/>
        <w:rPr>
          <w:rFonts w:cs="Arial"/>
        </w:rPr>
      </w:pPr>
      <w:r w:rsidRPr="007A2BCC">
        <w:rPr>
          <w:rFonts w:cs="Arial"/>
        </w:rPr>
        <w:t>The University considers environmental, social and corporate governance (ESG) factors to be factors that give an indication of the long-term success of a company and can therefore impact upon investment</w:t>
      </w:r>
      <w:r w:rsidRPr="00B2137B">
        <w:rPr>
          <w:rFonts w:cs="Arial"/>
        </w:rPr>
        <w:t xml:space="preserve"> returns and risk. </w:t>
      </w:r>
      <w:r w:rsidRPr="000E5DC4">
        <w:rPr>
          <w:rFonts w:cs="Arial"/>
        </w:rPr>
        <w:t>The</w:t>
      </w:r>
      <w:r>
        <w:rPr>
          <w:rFonts w:cs="Arial"/>
        </w:rPr>
        <w:t xml:space="preserve"> University believes that</w:t>
      </w:r>
      <w:r w:rsidRPr="000E5DC4">
        <w:rPr>
          <w:rFonts w:cs="Arial"/>
        </w:rPr>
        <w:t xml:space="preserve"> purposeful integration of environmental, social and corporate governance (ESG) considerations into investment management processes and ownership practices </w:t>
      </w:r>
      <w:r>
        <w:rPr>
          <w:rFonts w:cs="Arial"/>
        </w:rPr>
        <w:t>can have a positive</w:t>
      </w:r>
      <w:r w:rsidRPr="000E5DC4">
        <w:rPr>
          <w:rFonts w:cs="Arial"/>
        </w:rPr>
        <w:t xml:space="preserve"> impact on financial performance.</w:t>
      </w:r>
    </w:p>
    <w:p w14:paraId="370B321E" w14:textId="77777777" w:rsidR="00B13817" w:rsidRDefault="00B13817" w:rsidP="00CC443C">
      <w:pPr>
        <w:spacing w:after="0"/>
      </w:pPr>
    </w:p>
    <w:p w14:paraId="438E82BD" w14:textId="77777777" w:rsidR="00B13817" w:rsidRDefault="00B13817" w:rsidP="00CC443C">
      <w:pPr>
        <w:spacing w:after="0"/>
        <w:rPr>
          <w:rFonts w:cs="Arial"/>
        </w:rPr>
      </w:pPr>
      <w:r>
        <w:rPr>
          <w:rFonts w:cs="Arial"/>
        </w:rPr>
        <w:t xml:space="preserve">The </w:t>
      </w:r>
      <w:r w:rsidRPr="003553AE">
        <w:rPr>
          <w:rFonts w:cs="Arial"/>
        </w:rPr>
        <w:t>University has adopted the following</w:t>
      </w:r>
      <w:r w:rsidRPr="000E5DC4">
        <w:rPr>
          <w:rFonts w:cs="Arial"/>
        </w:rPr>
        <w:t>, n</w:t>
      </w:r>
      <w:r>
        <w:rPr>
          <w:rFonts w:cs="Arial"/>
        </w:rPr>
        <w:t xml:space="preserve">on-exhaustive definitions of the underlying components of ESG, as detailed in the </w:t>
      </w:r>
      <w:r w:rsidRPr="003553AE">
        <w:rPr>
          <w:rFonts w:cs="Arial"/>
        </w:rPr>
        <w:t>United Nations Principles for Responsible</w:t>
      </w:r>
      <w:r>
        <w:rPr>
          <w:rFonts w:cs="Arial"/>
        </w:rPr>
        <w:t xml:space="preserve"> (UNPRI)</w:t>
      </w:r>
      <w:r w:rsidRPr="003553AE">
        <w:rPr>
          <w:rFonts w:cs="Arial"/>
        </w:rPr>
        <w:t xml:space="preserve"> Investment</w:t>
      </w:r>
      <w:r>
        <w:rPr>
          <w:rFonts w:cs="Arial"/>
        </w:rPr>
        <w:t xml:space="preserve"> Reporting Framework</w:t>
      </w:r>
      <w:r w:rsidRPr="000E5DC4">
        <w:rPr>
          <w:rFonts w:cs="Arial"/>
        </w:rPr>
        <w:t>:</w:t>
      </w:r>
    </w:p>
    <w:p w14:paraId="4D3A5E55" w14:textId="77777777" w:rsidR="00B13817" w:rsidRPr="00B2137B" w:rsidRDefault="00B13817" w:rsidP="00CC443C">
      <w:pPr>
        <w:spacing w:after="0"/>
        <w:rPr>
          <w:rFonts w:cs="Arial"/>
        </w:rPr>
      </w:pPr>
    </w:p>
    <w:p w14:paraId="5341BC44" w14:textId="77777777" w:rsidR="00B13817" w:rsidRPr="000E5DC4" w:rsidRDefault="00B13817" w:rsidP="00106C27">
      <w:pPr>
        <w:pStyle w:val="ListParagraph"/>
        <w:numPr>
          <w:ilvl w:val="0"/>
          <w:numId w:val="32"/>
        </w:numPr>
        <w:spacing w:before="0" w:after="0" w:line="276" w:lineRule="auto"/>
        <w:contextualSpacing/>
        <w:rPr>
          <w:rFonts w:cs="Arial"/>
          <w:b/>
          <w:bCs/>
        </w:rPr>
      </w:pPr>
      <w:r w:rsidRPr="00B2137B">
        <w:rPr>
          <w:rFonts w:cs="Arial"/>
          <w:b/>
          <w:bCs/>
        </w:rPr>
        <w:t xml:space="preserve">Environmental: </w:t>
      </w:r>
      <w:r w:rsidRPr="000E5DC4">
        <w:rPr>
          <w:rFonts w:cs="Arial"/>
          <w:bCs/>
        </w:rPr>
        <w:t>biodiversity loss, greenhouse gas emissions, climate change, renewable energy, energy efficiency, air, water or resource depletion and pollution, waste management, ozone depletion, changes in land use, ocean acidification and changes to the nitrogen and phosphorus cycles.</w:t>
      </w:r>
    </w:p>
    <w:p w14:paraId="1BE0714B" w14:textId="77777777" w:rsidR="00B13817" w:rsidRPr="000E5DC4" w:rsidRDefault="00B13817" w:rsidP="00106C27">
      <w:pPr>
        <w:pStyle w:val="ListParagraph"/>
        <w:numPr>
          <w:ilvl w:val="0"/>
          <w:numId w:val="32"/>
        </w:numPr>
        <w:spacing w:before="0" w:after="0" w:line="276" w:lineRule="auto"/>
        <w:contextualSpacing/>
        <w:rPr>
          <w:rFonts w:cs="Arial"/>
          <w:b/>
          <w:bCs/>
        </w:rPr>
      </w:pPr>
      <w:r w:rsidRPr="00B2137B">
        <w:rPr>
          <w:rFonts w:cs="Arial"/>
          <w:b/>
          <w:bCs/>
        </w:rPr>
        <w:t xml:space="preserve">Social: </w:t>
      </w:r>
      <w:r w:rsidRPr="000E5DC4">
        <w:rPr>
          <w:rFonts w:cs="Arial"/>
          <w:bCs/>
        </w:rPr>
        <w:t>human rights, labour standards, child, slave and bonded labour, workplace health and safety, freedom of association and expression, human capital management and employee relations, diversity, relations with local communities, activities in conflict zones, health and access to medicine, consumer protection and controversial weapons.</w:t>
      </w:r>
    </w:p>
    <w:p w14:paraId="0C671601" w14:textId="79C4CCDA" w:rsidR="00B13817" w:rsidRPr="000E5DC4" w:rsidRDefault="00B13817" w:rsidP="00106C27">
      <w:pPr>
        <w:pStyle w:val="ListParagraph"/>
        <w:numPr>
          <w:ilvl w:val="0"/>
          <w:numId w:val="32"/>
        </w:numPr>
        <w:spacing w:before="0" w:after="0" w:line="276" w:lineRule="auto"/>
        <w:contextualSpacing/>
        <w:rPr>
          <w:rFonts w:cs="Arial"/>
        </w:rPr>
      </w:pPr>
      <w:r w:rsidRPr="00B2137B">
        <w:rPr>
          <w:rFonts w:cs="Arial"/>
          <w:b/>
          <w:bCs/>
        </w:rPr>
        <w:t xml:space="preserve">Governance: </w:t>
      </w:r>
      <w:r w:rsidRPr="00B2137B">
        <w:rPr>
          <w:rFonts w:cs="Arial"/>
        </w:rPr>
        <w:t xml:space="preserve"> </w:t>
      </w:r>
      <w:r w:rsidRPr="000E5DC4">
        <w:rPr>
          <w:rFonts w:cs="Arial"/>
        </w:rPr>
        <w:t>Issues relating to the governance of companies and other investment vehicles</w:t>
      </w:r>
      <w:r>
        <w:rPr>
          <w:rFonts w:cs="Arial"/>
        </w:rPr>
        <w:t xml:space="preserve">. </w:t>
      </w:r>
      <w:r w:rsidRPr="000E5DC4">
        <w:rPr>
          <w:rFonts w:cs="Arial"/>
        </w:rPr>
        <w:t xml:space="preserve">For listed equities, these </w:t>
      </w:r>
      <w:proofErr w:type="gramStart"/>
      <w:r w:rsidRPr="000E5DC4">
        <w:rPr>
          <w:rFonts w:cs="Arial"/>
        </w:rPr>
        <w:t>include:</w:t>
      </w:r>
      <w:proofErr w:type="gramEnd"/>
      <w:r w:rsidRPr="000E5DC4">
        <w:rPr>
          <w:rFonts w:cs="Arial"/>
        </w:rPr>
        <w:t xml:space="preserve"> </w:t>
      </w:r>
      <w:r w:rsidR="00F6715D">
        <w:rPr>
          <w:rFonts w:cs="Arial"/>
        </w:rPr>
        <w:t>B</w:t>
      </w:r>
      <w:r w:rsidRPr="000E5DC4">
        <w:rPr>
          <w:rFonts w:cs="Arial"/>
        </w:rPr>
        <w:t>oard structure, size, diversity, skills and</w:t>
      </w:r>
      <w:r>
        <w:rPr>
          <w:rFonts w:cs="Arial"/>
        </w:rPr>
        <w:t xml:space="preserve"> </w:t>
      </w:r>
      <w:r w:rsidRPr="000E5DC4">
        <w:rPr>
          <w:rFonts w:cs="Arial"/>
        </w:rPr>
        <w:t>independence, executive pay,</w:t>
      </w:r>
      <w:r>
        <w:rPr>
          <w:rFonts w:cs="Arial"/>
        </w:rPr>
        <w:t xml:space="preserve"> gender pay gap,</w:t>
      </w:r>
      <w:r w:rsidRPr="000E5DC4">
        <w:rPr>
          <w:rFonts w:cs="Arial"/>
        </w:rPr>
        <w:t xml:space="preserve"> shareholder rights, stakeholder interaction, disclosure</w:t>
      </w:r>
      <w:r>
        <w:rPr>
          <w:rFonts w:cs="Arial"/>
        </w:rPr>
        <w:t xml:space="preserve"> </w:t>
      </w:r>
      <w:r w:rsidRPr="000E5DC4">
        <w:rPr>
          <w:rFonts w:cs="Arial"/>
        </w:rPr>
        <w:t>of information, business ethics, bribery and corruption, internal controls and</w:t>
      </w:r>
      <w:r>
        <w:rPr>
          <w:rFonts w:cs="Arial"/>
        </w:rPr>
        <w:t xml:space="preserve"> </w:t>
      </w:r>
      <w:r w:rsidRPr="000E5DC4">
        <w:rPr>
          <w:rFonts w:cs="Arial"/>
        </w:rPr>
        <w:t>risk management, and, in general, issues dealing with the relationship between a</w:t>
      </w:r>
      <w:r>
        <w:rPr>
          <w:rFonts w:cs="Arial"/>
        </w:rPr>
        <w:t xml:space="preserve"> </w:t>
      </w:r>
      <w:r w:rsidRPr="000E5DC4">
        <w:rPr>
          <w:rFonts w:cs="Arial"/>
        </w:rPr>
        <w:t>company’s management, its board, its shareholders and other stakeholders. This</w:t>
      </w:r>
      <w:r>
        <w:rPr>
          <w:rFonts w:cs="Arial"/>
        </w:rPr>
        <w:t xml:space="preserve"> </w:t>
      </w:r>
      <w:r w:rsidRPr="000E5DC4">
        <w:rPr>
          <w:rFonts w:cs="Arial"/>
        </w:rPr>
        <w:t>category may also include matters of business strategy, encompassing both the</w:t>
      </w:r>
      <w:r>
        <w:rPr>
          <w:rFonts w:cs="Arial"/>
        </w:rPr>
        <w:t xml:space="preserve"> </w:t>
      </w:r>
      <w:r w:rsidRPr="000E5DC4">
        <w:rPr>
          <w:rFonts w:cs="Arial"/>
        </w:rPr>
        <w:t>implications of business strategy for environmental and social issues and how the</w:t>
      </w:r>
      <w:r>
        <w:rPr>
          <w:rFonts w:cs="Arial"/>
        </w:rPr>
        <w:t xml:space="preserve"> </w:t>
      </w:r>
      <w:r w:rsidRPr="000E5DC4">
        <w:rPr>
          <w:rFonts w:cs="Arial"/>
        </w:rPr>
        <w:t>strategy is to be implemented.</w:t>
      </w:r>
      <w:r>
        <w:rPr>
          <w:rFonts w:cs="Arial"/>
        </w:rPr>
        <w:t xml:space="preserve"> </w:t>
      </w:r>
      <w:r w:rsidRPr="000E5DC4">
        <w:rPr>
          <w:rFonts w:cs="Arial"/>
        </w:rPr>
        <w:t>For unlisted asset classes, governance issues also include matters of fund governance,</w:t>
      </w:r>
      <w:r>
        <w:rPr>
          <w:rFonts w:cs="Arial"/>
        </w:rPr>
        <w:t xml:space="preserve"> </w:t>
      </w:r>
      <w:r w:rsidRPr="000E5DC4">
        <w:rPr>
          <w:rFonts w:cs="Arial"/>
        </w:rPr>
        <w:t>such as the powers of advisory committees, v</w:t>
      </w:r>
      <w:r>
        <w:rPr>
          <w:rFonts w:cs="Arial"/>
        </w:rPr>
        <w:t>aluation issues and fee structures.</w:t>
      </w:r>
    </w:p>
    <w:p w14:paraId="69C3C9FA" w14:textId="77777777" w:rsidR="00B13817" w:rsidRPr="00B2137B" w:rsidRDefault="00B13817" w:rsidP="00CC443C">
      <w:pPr>
        <w:spacing w:after="0"/>
        <w:rPr>
          <w:rFonts w:cs="Arial"/>
        </w:rPr>
      </w:pPr>
    </w:p>
    <w:p w14:paraId="17285CB5" w14:textId="77777777" w:rsidR="00B13817" w:rsidRPr="00B2137B" w:rsidRDefault="00B13817" w:rsidP="00CC443C">
      <w:pPr>
        <w:spacing w:after="0"/>
        <w:rPr>
          <w:rFonts w:cs="Arial"/>
        </w:rPr>
      </w:pPr>
      <w:r w:rsidRPr="00B2137B">
        <w:rPr>
          <w:rFonts w:cs="Arial"/>
        </w:rPr>
        <w:t xml:space="preserve">In December 2019, the University became a signatory to the </w:t>
      </w:r>
      <w:r>
        <w:rPr>
          <w:rFonts w:cs="Arial"/>
        </w:rPr>
        <w:t>UNPRI.</w:t>
      </w:r>
      <w:r w:rsidRPr="00B2137B">
        <w:rPr>
          <w:rFonts w:cs="Arial"/>
        </w:rPr>
        <w:t xml:space="preserve"> The </w:t>
      </w:r>
      <w:r>
        <w:rPr>
          <w:rFonts w:cs="Arial"/>
        </w:rPr>
        <w:t xml:space="preserve">UNPRI is </w:t>
      </w:r>
      <w:r w:rsidRPr="00B2137B">
        <w:rPr>
          <w:rFonts w:cs="Arial"/>
        </w:rPr>
        <w:t>a United Nations-supported international network of investors working together to implement its six aspirational principles. Its goal is to understand the implications of sustainability for investors and support signatories to facilitate incorporating these issues into their investment decision-making and ownership practices. The six Principles for Responsible Investment are a voluntary set of investment principles that offer a menu of possible actions for incorporating environmental, social and governance (ESG) issues into investment practice.</w:t>
      </w:r>
    </w:p>
    <w:p w14:paraId="027939EA" w14:textId="77777777" w:rsidR="00B13817" w:rsidRPr="00B2137B" w:rsidRDefault="00B13817" w:rsidP="00CC443C">
      <w:pPr>
        <w:spacing w:after="0"/>
        <w:rPr>
          <w:rFonts w:cs="Arial"/>
        </w:rPr>
      </w:pPr>
    </w:p>
    <w:p w14:paraId="7FAF7549" w14:textId="2794E51D" w:rsidR="00B13817" w:rsidRPr="00B2137B" w:rsidRDefault="00B13817" w:rsidP="00CC443C">
      <w:pPr>
        <w:spacing w:after="0"/>
        <w:rPr>
          <w:rFonts w:cs="Arial"/>
        </w:rPr>
      </w:pPr>
      <w:r w:rsidRPr="00B2137B">
        <w:rPr>
          <w:rFonts w:cs="Arial"/>
        </w:rPr>
        <w:t xml:space="preserve">The University has adopted the following </w:t>
      </w:r>
      <w:r w:rsidR="00F6715D" w:rsidRPr="00B2137B">
        <w:rPr>
          <w:rFonts w:cs="Arial"/>
        </w:rPr>
        <w:t>statement,</w:t>
      </w:r>
      <w:r w:rsidRPr="00B2137B">
        <w:rPr>
          <w:rFonts w:cs="Arial"/>
        </w:rPr>
        <w:t xml:space="preserve"> and the six principles set out below:</w:t>
      </w:r>
    </w:p>
    <w:p w14:paraId="093362F8" w14:textId="77777777" w:rsidR="00B13817" w:rsidRPr="00B2137B" w:rsidRDefault="00B13817" w:rsidP="00CC443C">
      <w:pPr>
        <w:spacing w:after="0"/>
        <w:rPr>
          <w:rFonts w:cs="Arial"/>
          <w:color w:val="FF0000"/>
        </w:rPr>
      </w:pPr>
    </w:p>
    <w:p w14:paraId="13686870" w14:textId="77777777" w:rsidR="00B13817" w:rsidRPr="00F6715D" w:rsidRDefault="00B13817" w:rsidP="00CC443C">
      <w:pPr>
        <w:spacing w:after="0"/>
        <w:rPr>
          <w:rFonts w:cs="Arial"/>
          <w:iCs/>
        </w:rPr>
      </w:pPr>
      <w:r w:rsidRPr="00F6715D">
        <w:rPr>
          <w:rFonts w:cs="Arial"/>
          <w:iCs/>
        </w:rPr>
        <w:t>As an institutional investor, we have a duty to act in the best long-term interests of our beneficiaries. In this fiduciary role, we believe that environmental, social, and corporate governance (ESG) issues can affect the performance of investment portfolios (to varying degrees across companies, sectors, regions and asset classes and through time).</w:t>
      </w:r>
    </w:p>
    <w:p w14:paraId="277B47D6" w14:textId="77777777" w:rsidR="00B13817" w:rsidRPr="00F6715D" w:rsidRDefault="00B13817" w:rsidP="00CC443C">
      <w:pPr>
        <w:spacing w:after="0"/>
        <w:rPr>
          <w:rFonts w:cs="Arial"/>
          <w:iCs/>
        </w:rPr>
      </w:pPr>
    </w:p>
    <w:p w14:paraId="3F7FAA98" w14:textId="77777777" w:rsidR="00B13817" w:rsidRPr="00F6715D" w:rsidRDefault="00B13817" w:rsidP="00CC443C">
      <w:pPr>
        <w:spacing w:after="0"/>
        <w:rPr>
          <w:rFonts w:cs="Arial"/>
          <w:iCs/>
        </w:rPr>
      </w:pPr>
      <w:r w:rsidRPr="00F6715D">
        <w:rPr>
          <w:rFonts w:cs="Arial"/>
          <w:iCs/>
        </w:rPr>
        <w:t>We also recognise that applying these Principles may better align investors with broader objectives of society. Therefore, where consistent with our fiduciary responsibilities, we commit to the following:</w:t>
      </w:r>
    </w:p>
    <w:p w14:paraId="1FC0587F" w14:textId="77777777" w:rsidR="00B13817" w:rsidRPr="00B2137B" w:rsidRDefault="00B13817" w:rsidP="00CC443C">
      <w:pPr>
        <w:spacing w:after="0"/>
        <w:ind w:left="720"/>
        <w:rPr>
          <w:rFonts w:cs="Arial"/>
          <w:color w:val="FF0000"/>
        </w:rPr>
      </w:pPr>
    </w:p>
    <w:p w14:paraId="310FBA5B" w14:textId="77777777" w:rsidR="00B13817" w:rsidRPr="00B2137B" w:rsidRDefault="00B13817" w:rsidP="00CC443C">
      <w:pPr>
        <w:numPr>
          <w:ilvl w:val="0"/>
          <w:numId w:val="25"/>
        </w:numPr>
        <w:spacing w:after="0" w:line="276" w:lineRule="auto"/>
        <w:rPr>
          <w:rFonts w:cs="Arial"/>
        </w:rPr>
      </w:pPr>
      <w:r w:rsidRPr="00B2137B">
        <w:rPr>
          <w:rFonts w:cs="Arial"/>
          <w:b/>
          <w:bCs/>
        </w:rPr>
        <w:t>Principle 1:</w:t>
      </w:r>
      <w:r w:rsidRPr="00B2137B">
        <w:rPr>
          <w:rFonts w:cs="Arial"/>
        </w:rPr>
        <w:t> We will incorporate ESG issues into investment analysis and decision-making processes.</w:t>
      </w:r>
    </w:p>
    <w:p w14:paraId="436D1411" w14:textId="77777777" w:rsidR="00B13817" w:rsidRPr="00B2137B" w:rsidRDefault="00B13817" w:rsidP="00CC443C">
      <w:pPr>
        <w:numPr>
          <w:ilvl w:val="0"/>
          <w:numId w:val="25"/>
        </w:numPr>
        <w:spacing w:after="0" w:line="276" w:lineRule="auto"/>
        <w:rPr>
          <w:rFonts w:cs="Arial"/>
        </w:rPr>
      </w:pPr>
      <w:r w:rsidRPr="00B2137B">
        <w:rPr>
          <w:rFonts w:cs="Arial"/>
          <w:b/>
          <w:bCs/>
        </w:rPr>
        <w:t>Principle 2</w:t>
      </w:r>
      <w:r w:rsidRPr="00B2137B">
        <w:rPr>
          <w:rFonts w:cs="Arial"/>
        </w:rPr>
        <w:t>: We will be active owners and incorporate ESG issues into our ownership policies and practices.</w:t>
      </w:r>
    </w:p>
    <w:p w14:paraId="4AA7B64D" w14:textId="77777777" w:rsidR="00B13817" w:rsidRPr="00B2137B" w:rsidRDefault="00B13817" w:rsidP="00CC443C">
      <w:pPr>
        <w:numPr>
          <w:ilvl w:val="0"/>
          <w:numId w:val="25"/>
        </w:numPr>
        <w:spacing w:after="0" w:line="276" w:lineRule="auto"/>
        <w:rPr>
          <w:rFonts w:cs="Arial"/>
        </w:rPr>
      </w:pPr>
      <w:r w:rsidRPr="00B2137B">
        <w:rPr>
          <w:rFonts w:cs="Arial"/>
          <w:b/>
          <w:bCs/>
        </w:rPr>
        <w:t>Principle 3</w:t>
      </w:r>
      <w:r w:rsidRPr="00B2137B">
        <w:rPr>
          <w:rFonts w:cs="Arial"/>
        </w:rPr>
        <w:t>: We will seek appropriate disclosure on ESG issues by the entities in which we invest.</w:t>
      </w:r>
    </w:p>
    <w:p w14:paraId="1F0997EB" w14:textId="77777777" w:rsidR="00B13817" w:rsidRPr="00B2137B" w:rsidRDefault="00B13817" w:rsidP="00CC443C">
      <w:pPr>
        <w:numPr>
          <w:ilvl w:val="0"/>
          <w:numId w:val="25"/>
        </w:numPr>
        <w:spacing w:after="0" w:line="276" w:lineRule="auto"/>
        <w:rPr>
          <w:rFonts w:cs="Arial"/>
        </w:rPr>
      </w:pPr>
      <w:r w:rsidRPr="00B2137B">
        <w:rPr>
          <w:rFonts w:cs="Arial"/>
          <w:b/>
          <w:bCs/>
        </w:rPr>
        <w:t>Principle 4:</w:t>
      </w:r>
      <w:r w:rsidRPr="00B2137B">
        <w:rPr>
          <w:rFonts w:cs="Arial"/>
        </w:rPr>
        <w:t xml:space="preserve"> We will promote acceptance and implementation of the </w:t>
      </w:r>
      <w:proofErr w:type="gramStart"/>
      <w:r w:rsidRPr="00B2137B">
        <w:rPr>
          <w:rFonts w:cs="Arial"/>
        </w:rPr>
        <w:t>Principles</w:t>
      </w:r>
      <w:proofErr w:type="gramEnd"/>
      <w:r w:rsidRPr="00B2137B">
        <w:rPr>
          <w:rFonts w:cs="Arial"/>
        </w:rPr>
        <w:t xml:space="preserve"> within the investment industry.</w:t>
      </w:r>
    </w:p>
    <w:p w14:paraId="4E15D415" w14:textId="77777777" w:rsidR="00B13817" w:rsidRPr="00B2137B" w:rsidRDefault="00B13817" w:rsidP="00CC443C">
      <w:pPr>
        <w:numPr>
          <w:ilvl w:val="0"/>
          <w:numId w:val="25"/>
        </w:numPr>
        <w:spacing w:after="0" w:line="276" w:lineRule="auto"/>
        <w:rPr>
          <w:rFonts w:cs="Arial"/>
        </w:rPr>
      </w:pPr>
      <w:r w:rsidRPr="00B2137B">
        <w:rPr>
          <w:rFonts w:cs="Arial"/>
          <w:b/>
          <w:bCs/>
        </w:rPr>
        <w:t>Principle 5</w:t>
      </w:r>
      <w:r w:rsidRPr="00B2137B">
        <w:rPr>
          <w:rFonts w:cs="Arial"/>
        </w:rPr>
        <w:t xml:space="preserve">: We will work together to enhance our effectiveness in implementing the </w:t>
      </w:r>
      <w:proofErr w:type="gramStart"/>
      <w:r w:rsidRPr="00B2137B">
        <w:rPr>
          <w:rFonts w:cs="Arial"/>
        </w:rPr>
        <w:t>Principles</w:t>
      </w:r>
      <w:proofErr w:type="gramEnd"/>
      <w:r w:rsidRPr="00B2137B">
        <w:rPr>
          <w:rFonts w:cs="Arial"/>
        </w:rPr>
        <w:t>.</w:t>
      </w:r>
    </w:p>
    <w:p w14:paraId="6A27B07A" w14:textId="73BA95C9" w:rsidR="00B13817" w:rsidRPr="00534333" w:rsidRDefault="00B13817" w:rsidP="00CC443C">
      <w:pPr>
        <w:numPr>
          <w:ilvl w:val="0"/>
          <w:numId w:val="25"/>
        </w:numPr>
        <w:spacing w:after="0" w:line="276" w:lineRule="auto"/>
        <w:rPr>
          <w:rFonts w:cs="Arial"/>
        </w:rPr>
      </w:pPr>
      <w:r w:rsidRPr="00B2137B">
        <w:rPr>
          <w:rFonts w:cs="Arial"/>
          <w:b/>
          <w:bCs/>
        </w:rPr>
        <w:t>Principle 6:</w:t>
      </w:r>
      <w:r w:rsidRPr="00B2137B">
        <w:rPr>
          <w:rFonts w:cs="Arial"/>
        </w:rPr>
        <w:t xml:space="preserve"> We will each report on our activities and progress towards implementing the </w:t>
      </w:r>
      <w:proofErr w:type="gramStart"/>
      <w:r w:rsidRPr="00B2137B">
        <w:rPr>
          <w:rFonts w:cs="Arial"/>
        </w:rPr>
        <w:t>Principles</w:t>
      </w:r>
      <w:proofErr w:type="gramEnd"/>
      <w:r w:rsidRPr="00B2137B">
        <w:rPr>
          <w:rFonts w:cs="Arial"/>
        </w:rPr>
        <w:t>.</w:t>
      </w:r>
    </w:p>
    <w:p w14:paraId="0FAA275E" w14:textId="77777777" w:rsidR="00B13817" w:rsidRPr="00B2137B" w:rsidRDefault="00B13817" w:rsidP="00CC443C">
      <w:pPr>
        <w:pStyle w:val="Heading2"/>
      </w:pPr>
      <w:bookmarkStart w:id="8" w:name="_Toc188866935"/>
      <w:r w:rsidRPr="00B2137B">
        <w:t>Exclusions</w:t>
      </w:r>
      <w:bookmarkEnd w:id="8"/>
    </w:p>
    <w:p w14:paraId="7333231F" w14:textId="77777777" w:rsidR="00B13817" w:rsidRPr="00B2137B" w:rsidRDefault="00B13817" w:rsidP="00CC443C">
      <w:pPr>
        <w:spacing w:after="0"/>
        <w:rPr>
          <w:rFonts w:cs="Arial"/>
        </w:rPr>
      </w:pPr>
      <w:r>
        <w:rPr>
          <w:rFonts w:cs="Arial"/>
        </w:rPr>
        <w:t>The University aims</w:t>
      </w:r>
      <w:r w:rsidRPr="00B2137B">
        <w:rPr>
          <w:rFonts w:cs="Arial"/>
        </w:rPr>
        <w:t xml:space="preserve"> to invest in companies where the activities of the company are, on ethical grounds, consistent with the educational and/or research objectives of the University.</w:t>
      </w:r>
    </w:p>
    <w:p w14:paraId="0BD747CA" w14:textId="77777777" w:rsidR="00B13817" w:rsidRPr="00B2137B" w:rsidRDefault="00B13817" w:rsidP="00CC443C">
      <w:pPr>
        <w:spacing w:after="0"/>
        <w:rPr>
          <w:rFonts w:cs="Arial"/>
        </w:rPr>
      </w:pPr>
    </w:p>
    <w:p w14:paraId="5CE9B6AB" w14:textId="77777777" w:rsidR="00B13817" w:rsidRPr="00B2137B" w:rsidRDefault="00B13817" w:rsidP="00CC443C">
      <w:pPr>
        <w:spacing w:after="0"/>
        <w:rPr>
          <w:rFonts w:cs="Arial"/>
        </w:rPr>
      </w:pPr>
      <w:r w:rsidRPr="00B2137B">
        <w:rPr>
          <w:rFonts w:cs="Arial"/>
        </w:rPr>
        <w:t xml:space="preserve">The University’s </w:t>
      </w:r>
      <w:r>
        <w:rPr>
          <w:rFonts w:cs="Arial"/>
        </w:rPr>
        <w:t>OCIO is obligated</w:t>
      </w:r>
      <w:r w:rsidRPr="00B2137B">
        <w:rPr>
          <w:rFonts w:cs="Arial"/>
        </w:rPr>
        <w:t xml:space="preserve"> </w:t>
      </w:r>
      <w:r>
        <w:rPr>
          <w:rFonts w:cs="Arial"/>
        </w:rPr>
        <w:t>to invest the University’s investment funds in line with t</w:t>
      </w:r>
      <w:r w:rsidRPr="00B2137B">
        <w:rPr>
          <w:rFonts w:cs="Arial"/>
        </w:rPr>
        <w:t xml:space="preserve">he following investment exclusion criteria: </w:t>
      </w:r>
    </w:p>
    <w:p w14:paraId="0D11B75C" w14:textId="77777777" w:rsidR="00B13817" w:rsidRPr="00B2137B" w:rsidRDefault="00B13817" w:rsidP="00CC443C">
      <w:pPr>
        <w:spacing w:after="0"/>
        <w:rPr>
          <w:rFonts w:cs="Arial"/>
        </w:rPr>
      </w:pPr>
    </w:p>
    <w:p w14:paraId="7BB3F3D9" w14:textId="4D5ED996" w:rsidR="00B13817" w:rsidRPr="00B2137B" w:rsidRDefault="00B13817" w:rsidP="00CC443C">
      <w:pPr>
        <w:pStyle w:val="ListParagraph"/>
        <w:numPr>
          <w:ilvl w:val="0"/>
          <w:numId w:val="27"/>
        </w:numPr>
        <w:spacing w:before="0" w:after="0" w:line="276" w:lineRule="auto"/>
        <w:contextualSpacing/>
        <w:rPr>
          <w:rFonts w:cs="Arial"/>
        </w:rPr>
      </w:pPr>
      <w:r w:rsidRPr="00B2137B">
        <w:rPr>
          <w:rFonts w:cs="Arial"/>
        </w:rPr>
        <w:t>Tobacco</w:t>
      </w:r>
      <w:r w:rsidR="00534333">
        <w:rPr>
          <w:rFonts w:cs="Arial"/>
        </w:rPr>
        <w:t>:</w:t>
      </w:r>
      <w:r w:rsidRPr="00B2137B">
        <w:rPr>
          <w:rFonts w:cs="Arial"/>
        </w:rPr>
        <w:t xml:space="preserve"> Companies involved in producing and distributing tobacco products where revenues </w:t>
      </w:r>
      <w:r>
        <w:rPr>
          <w:rFonts w:cs="Arial"/>
        </w:rPr>
        <w:t xml:space="preserve">derived from these activities </w:t>
      </w:r>
      <w:r w:rsidRPr="00B2137B">
        <w:rPr>
          <w:rFonts w:cs="Arial"/>
        </w:rPr>
        <w:t xml:space="preserve">exceed 10% of </w:t>
      </w:r>
      <w:r>
        <w:rPr>
          <w:rFonts w:cs="Arial"/>
        </w:rPr>
        <w:t>their global revenues,</w:t>
      </w:r>
      <w:r w:rsidRPr="00B2137B">
        <w:rPr>
          <w:rFonts w:cs="Arial"/>
        </w:rPr>
        <w:t xml:space="preserve"> and any companies involved in the manufacture of cigarettes and other tobacco products. </w:t>
      </w:r>
    </w:p>
    <w:p w14:paraId="419ECB36" w14:textId="77777777" w:rsidR="00B13817" w:rsidRPr="00B2137B" w:rsidRDefault="00B13817" w:rsidP="00CC443C">
      <w:pPr>
        <w:spacing w:after="0"/>
        <w:rPr>
          <w:rFonts w:cs="Arial"/>
        </w:rPr>
      </w:pPr>
    </w:p>
    <w:p w14:paraId="03E6A85E" w14:textId="77777777" w:rsidR="00B13817" w:rsidRPr="00B2137B" w:rsidRDefault="00B13817" w:rsidP="00CC443C">
      <w:pPr>
        <w:pStyle w:val="ListParagraph"/>
        <w:numPr>
          <w:ilvl w:val="0"/>
          <w:numId w:val="27"/>
        </w:numPr>
        <w:spacing w:before="0" w:after="0" w:line="276" w:lineRule="auto"/>
        <w:contextualSpacing/>
        <w:rPr>
          <w:rFonts w:cs="Arial"/>
        </w:rPr>
      </w:pPr>
      <w:r w:rsidRPr="00B2137B">
        <w:rPr>
          <w:rFonts w:cs="Arial"/>
        </w:rPr>
        <w:t>Armaments:</w:t>
      </w:r>
    </w:p>
    <w:p w14:paraId="42D5D825" w14:textId="77777777" w:rsidR="00B13817" w:rsidRPr="00B2137B" w:rsidRDefault="00B13817" w:rsidP="00CC443C">
      <w:pPr>
        <w:pStyle w:val="ListParagraph"/>
        <w:numPr>
          <w:ilvl w:val="0"/>
          <w:numId w:val="24"/>
        </w:numPr>
        <w:spacing w:before="0" w:after="0" w:line="276" w:lineRule="auto"/>
        <w:ind w:left="1843"/>
        <w:contextualSpacing/>
        <w:rPr>
          <w:rFonts w:cs="Arial"/>
        </w:rPr>
      </w:pPr>
      <w:r w:rsidRPr="00B2137B">
        <w:rPr>
          <w:rFonts w:cs="Arial"/>
        </w:rPr>
        <w:t xml:space="preserve">Landmines and cluster munitions: these are prohibited under international treaty and as such are to be excluded from investment for every </w:t>
      </w:r>
      <w:proofErr w:type="gramStart"/>
      <w:r w:rsidRPr="00B2137B">
        <w:rPr>
          <w:rFonts w:cs="Arial"/>
        </w:rPr>
        <w:t>portfolio;</w:t>
      </w:r>
      <w:proofErr w:type="gramEnd"/>
    </w:p>
    <w:p w14:paraId="20D1CD8C" w14:textId="77777777" w:rsidR="00B13817" w:rsidRPr="00B2137B" w:rsidRDefault="00B13817" w:rsidP="00CC443C">
      <w:pPr>
        <w:pStyle w:val="ListParagraph"/>
        <w:numPr>
          <w:ilvl w:val="0"/>
          <w:numId w:val="24"/>
        </w:numPr>
        <w:spacing w:before="0" w:after="0" w:line="276" w:lineRule="auto"/>
        <w:ind w:left="1843"/>
        <w:contextualSpacing/>
        <w:rPr>
          <w:rFonts w:cs="Arial"/>
        </w:rPr>
      </w:pPr>
      <w:r w:rsidRPr="00B2137B">
        <w:rPr>
          <w:rFonts w:cs="Arial"/>
        </w:rPr>
        <w:t>C</w:t>
      </w:r>
      <w:r>
        <w:rPr>
          <w:rFonts w:cs="Arial"/>
        </w:rPr>
        <w:t>ivilian firearms,</w:t>
      </w:r>
      <w:r w:rsidRPr="00B2137B">
        <w:rPr>
          <w:rFonts w:cs="Arial"/>
        </w:rPr>
        <w:t xml:space="preserve"> both the production and retail of civilian </w:t>
      </w:r>
      <w:proofErr w:type="gramStart"/>
      <w:r w:rsidRPr="00B2137B">
        <w:rPr>
          <w:rFonts w:cs="Arial"/>
        </w:rPr>
        <w:t>firearms;</w:t>
      </w:r>
      <w:proofErr w:type="gramEnd"/>
    </w:p>
    <w:p w14:paraId="2BC73FFD" w14:textId="77777777" w:rsidR="00B13817" w:rsidRPr="00B2137B" w:rsidRDefault="00B13817" w:rsidP="00CC443C">
      <w:pPr>
        <w:pStyle w:val="ListParagraph"/>
        <w:numPr>
          <w:ilvl w:val="0"/>
          <w:numId w:val="24"/>
        </w:numPr>
        <w:spacing w:before="0" w:after="0" w:line="276" w:lineRule="auto"/>
        <w:ind w:left="1843"/>
        <w:contextualSpacing/>
        <w:rPr>
          <w:rFonts w:cs="Arial"/>
        </w:rPr>
      </w:pPr>
      <w:r w:rsidRPr="00B2137B">
        <w:rPr>
          <w:rFonts w:cs="Arial"/>
        </w:rPr>
        <w:t xml:space="preserve">Companies </w:t>
      </w:r>
      <w:r w:rsidRPr="007A2BCC">
        <w:rPr>
          <w:rFonts w:cs="Arial"/>
        </w:rPr>
        <w:t>where revenues exceed 10% of revenues</w:t>
      </w:r>
      <w:r w:rsidRPr="00B2137B">
        <w:rPr>
          <w:rFonts w:cs="Arial"/>
        </w:rPr>
        <w:t xml:space="preserve"> with activities connected to weapons systems, including components and services designed for weapons use products or services designed for weapons </w:t>
      </w:r>
      <w:proofErr w:type="gramStart"/>
      <w:r w:rsidRPr="00B2137B">
        <w:rPr>
          <w:rFonts w:cs="Arial"/>
        </w:rPr>
        <w:t>use;</w:t>
      </w:r>
      <w:proofErr w:type="gramEnd"/>
    </w:p>
    <w:p w14:paraId="15EE955E" w14:textId="77777777" w:rsidR="00B13817" w:rsidRPr="00B2137B" w:rsidRDefault="00B13817" w:rsidP="00CC443C">
      <w:pPr>
        <w:pStyle w:val="ListParagraph"/>
        <w:numPr>
          <w:ilvl w:val="0"/>
          <w:numId w:val="24"/>
        </w:numPr>
        <w:spacing w:before="0" w:after="0" w:line="276" w:lineRule="auto"/>
        <w:ind w:left="1843"/>
        <w:contextualSpacing/>
        <w:rPr>
          <w:rFonts w:cs="Arial"/>
        </w:rPr>
      </w:pPr>
      <w:r w:rsidRPr="00B2137B">
        <w:rPr>
          <w:rFonts w:cs="Arial"/>
        </w:rPr>
        <w:t xml:space="preserve">Companies manufacturing whole weapon systems weapons, cluster munitions and anti-personnel landmines. </w:t>
      </w:r>
    </w:p>
    <w:p w14:paraId="7CE5036C" w14:textId="77777777" w:rsidR="00B13817" w:rsidRPr="00B2137B" w:rsidRDefault="00B13817" w:rsidP="00CC443C">
      <w:pPr>
        <w:pStyle w:val="ListParagraph"/>
        <w:spacing w:after="0"/>
        <w:ind w:left="1701"/>
        <w:rPr>
          <w:rFonts w:cs="Arial"/>
        </w:rPr>
      </w:pPr>
    </w:p>
    <w:p w14:paraId="78C142FD" w14:textId="2FBD0C0E" w:rsidR="00B13817" w:rsidRPr="00B2137B" w:rsidRDefault="00B13817" w:rsidP="00CC443C">
      <w:pPr>
        <w:pStyle w:val="ListParagraph"/>
        <w:numPr>
          <w:ilvl w:val="0"/>
          <w:numId w:val="27"/>
        </w:numPr>
        <w:spacing w:before="0" w:after="0" w:line="276" w:lineRule="auto"/>
        <w:contextualSpacing/>
        <w:rPr>
          <w:rFonts w:cs="Arial"/>
        </w:rPr>
      </w:pPr>
      <w:r w:rsidRPr="00B2137B">
        <w:rPr>
          <w:rFonts w:cs="Arial"/>
        </w:rPr>
        <w:t>Human Rights &amp; Labour standards</w:t>
      </w:r>
      <w:r w:rsidR="00534333">
        <w:rPr>
          <w:rFonts w:cs="Arial"/>
        </w:rPr>
        <w:t>:</w:t>
      </w:r>
      <w:r w:rsidRPr="00B2137B">
        <w:rPr>
          <w:rFonts w:cs="Arial"/>
        </w:rPr>
        <w:t xml:space="preserve"> Companies whose policies, practices and record on human rights and labour standards fall below the recognised standard as identified by MSCI ESG </w:t>
      </w:r>
      <w:r w:rsidRPr="007A2BCC">
        <w:rPr>
          <w:rFonts w:cs="Arial"/>
        </w:rPr>
        <w:t>ratings or equivalent.</w:t>
      </w:r>
    </w:p>
    <w:p w14:paraId="2933CE63" w14:textId="77777777" w:rsidR="00B13817" w:rsidRPr="00B2137B" w:rsidRDefault="00B13817" w:rsidP="00CC443C">
      <w:pPr>
        <w:spacing w:after="0"/>
        <w:rPr>
          <w:rFonts w:cs="Arial"/>
        </w:rPr>
      </w:pPr>
    </w:p>
    <w:p w14:paraId="55DDFC39" w14:textId="63D42DA1" w:rsidR="00B13817" w:rsidRPr="00534333" w:rsidRDefault="00B13817" w:rsidP="00534333">
      <w:pPr>
        <w:pStyle w:val="ListParagraph"/>
        <w:numPr>
          <w:ilvl w:val="0"/>
          <w:numId w:val="27"/>
        </w:numPr>
        <w:spacing w:before="0" w:after="0" w:line="276" w:lineRule="auto"/>
        <w:contextualSpacing/>
        <w:rPr>
          <w:rFonts w:cs="Arial"/>
        </w:rPr>
      </w:pPr>
      <w:r w:rsidRPr="00B2137B">
        <w:rPr>
          <w:rFonts w:cs="Arial"/>
        </w:rPr>
        <w:t>Oil &amp; Mining Companies</w:t>
      </w:r>
      <w:r w:rsidR="00534333">
        <w:rPr>
          <w:rFonts w:cs="Arial"/>
        </w:rPr>
        <w:t>:</w:t>
      </w:r>
      <w:r w:rsidRPr="00B2137B">
        <w:rPr>
          <w:rFonts w:cs="Arial"/>
        </w:rPr>
        <w:t xml:space="preserve"> Companies </w:t>
      </w:r>
      <w:r>
        <w:rPr>
          <w:rFonts w:cs="Arial"/>
        </w:rPr>
        <w:t xml:space="preserve">whose </w:t>
      </w:r>
      <w:r w:rsidRPr="00B2137B">
        <w:rPr>
          <w:rFonts w:cs="Arial"/>
        </w:rPr>
        <w:t xml:space="preserve">revenues </w:t>
      </w:r>
      <w:r>
        <w:rPr>
          <w:rFonts w:cs="Arial"/>
        </w:rPr>
        <w:t xml:space="preserve">derived from </w:t>
      </w:r>
      <w:r w:rsidRPr="00CD0A45">
        <w:rPr>
          <w:rFonts w:cs="Arial"/>
        </w:rPr>
        <w:t xml:space="preserve">Thermal </w:t>
      </w:r>
      <w:proofErr w:type="gramStart"/>
      <w:r w:rsidRPr="00CD0A45">
        <w:rPr>
          <w:rFonts w:cs="Arial"/>
        </w:rPr>
        <w:t>Coal,</w:t>
      </w:r>
      <w:proofErr w:type="gramEnd"/>
      <w:r w:rsidRPr="00CD0A45">
        <w:rPr>
          <w:rFonts w:cs="Arial"/>
        </w:rPr>
        <w:t xml:space="preserve"> Oil Shale &amp; Tar Sands production</w:t>
      </w:r>
      <w:r>
        <w:rPr>
          <w:rFonts w:cs="Arial"/>
        </w:rPr>
        <w:t xml:space="preserve"> activities</w:t>
      </w:r>
      <w:r w:rsidRPr="00CD0A45">
        <w:rPr>
          <w:rFonts w:cs="Arial"/>
        </w:rPr>
        <w:t xml:space="preserve"> (considered the most polluting)</w:t>
      </w:r>
      <w:r>
        <w:rPr>
          <w:rFonts w:cs="Arial"/>
        </w:rPr>
        <w:t xml:space="preserve"> </w:t>
      </w:r>
      <w:r w:rsidRPr="00B2137B">
        <w:rPr>
          <w:rFonts w:cs="Arial"/>
        </w:rPr>
        <w:t xml:space="preserve">exceed </w:t>
      </w:r>
      <w:r>
        <w:rPr>
          <w:rFonts w:cs="Arial"/>
        </w:rPr>
        <w:t>5</w:t>
      </w:r>
      <w:r w:rsidRPr="00B2137B">
        <w:rPr>
          <w:rFonts w:cs="Arial"/>
        </w:rPr>
        <w:t xml:space="preserve">% of </w:t>
      </w:r>
      <w:r>
        <w:rPr>
          <w:rFonts w:cs="Arial"/>
        </w:rPr>
        <w:t>their global revenues</w:t>
      </w:r>
      <w:r w:rsidRPr="00B2137B">
        <w:rPr>
          <w:rFonts w:cs="Arial"/>
        </w:rPr>
        <w:t xml:space="preserve">. </w:t>
      </w:r>
    </w:p>
    <w:p w14:paraId="4021E741" w14:textId="2C7DE6B8" w:rsidR="00B13817" w:rsidRPr="00B2137B" w:rsidRDefault="00B13817" w:rsidP="00CC443C">
      <w:pPr>
        <w:pStyle w:val="Heading2"/>
      </w:pPr>
      <w:bookmarkStart w:id="9" w:name="_Toc188866936"/>
      <w:r w:rsidRPr="00B2137B">
        <w:t xml:space="preserve">Manager </w:t>
      </w:r>
      <w:r w:rsidR="001D015B">
        <w:t>d</w:t>
      </w:r>
      <w:r w:rsidRPr="00B2137B">
        <w:t xml:space="preserve">iscretion and the </w:t>
      </w:r>
      <w:r w:rsidR="001D015B">
        <w:t>u</w:t>
      </w:r>
      <w:r w:rsidRPr="00B2137B">
        <w:t xml:space="preserve">se of </w:t>
      </w:r>
      <w:r w:rsidR="001D015B">
        <w:t>p</w:t>
      </w:r>
      <w:r w:rsidRPr="00B2137B">
        <w:t xml:space="preserve">ooled </w:t>
      </w:r>
      <w:r w:rsidR="001D015B">
        <w:t>f</w:t>
      </w:r>
      <w:r w:rsidRPr="00B2137B">
        <w:t>unds</w:t>
      </w:r>
      <w:bookmarkEnd w:id="9"/>
    </w:p>
    <w:p w14:paraId="096A7C5B" w14:textId="1D5C5C3D" w:rsidR="00B13817" w:rsidRDefault="00B13817" w:rsidP="00CC443C">
      <w:pPr>
        <w:spacing w:after="0"/>
        <w:rPr>
          <w:rFonts w:cs="Arial"/>
        </w:rPr>
      </w:pPr>
      <w:r w:rsidRPr="00B2137B">
        <w:rPr>
          <w:rFonts w:cs="Arial"/>
        </w:rPr>
        <w:t>The University primarily invests</w:t>
      </w:r>
      <w:r>
        <w:rPr>
          <w:rFonts w:cs="Arial"/>
        </w:rPr>
        <w:t>, via the OCIO,</w:t>
      </w:r>
      <w:r w:rsidRPr="00B2137B">
        <w:rPr>
          <w:rFonts w:cs="Arial"/>
        </w:rPr>
        <w:t xml:space="preserve"> through managed pooled investment vehicles where the</w:t>
      </w:r>
      <w:r>
        <w:rPr>
          <w:rFonts w:cs="Arial"/>
        </w:rPr>
        <w:t xml:space="preserve"> </w:t>
      </w:r>
      <w:r w:rsidRPr="00B2137B">
        <w:rPr>
          <w:rFonts w:cs="Arial"/>
        </w:rPr>
        <w:t xml:space="preserve">University’s assets may represent only a small proportion of the capital invested by the investment manager. The University </w:t>
      </w:r>
      <w:r w:rsidR="00873E5A" w:rsidRPr="00B2137B">
        <w:rPr>
          <w:rFonts w:cs="Arial"/>
        </w:rPr>
        <w:t>can</w:t>
      </w:r>
      <w:r w:rsidRPr="00B2137B">
        <w:rPr>
          <w:rFonts w:cs="Arial"/>
        </w:rPr>
        <w:t xml:space="preserve"> invest in certain investment strategies through pooled funds where individual investors have no direct influence on the investments within the fund. However, the University recognises the important role we have as an asset owner and the opportunity to influence positive ESG standards through stewardship</w:t>
      </w:r>
      <w:r>
        <w:rPr>
          <w:rFonts w:cs="Arial"/>
        </w:rPr>
        <w:t xml:space="preserve">, via the OCIO, </w:t>
      </w:r>
      <w:r w:rsidRPr="00B2137B">
        <w:rPr>
          <w:rFonts w:cs="Arial"/>
        </w:rPr>
        <w:t xml:space="preserve">of the investment managers’ engagement with companies’ boards on behalf of the University. </w:t>
      </w:r>
    </w:p>
    <w:p w14:paraId="55317544" w14:textId="77777777" w:rsidR="00B13817" w:rsidRPr="00B2137B" w:rsidRDefault="00B13817" w:rsidP="00CC443C">
      <w:pPr>
        <w:spacing w:after="0"/>
        <w:rPr>
          <w:rFonts w:cs="Arial"/>
        </w:rPr>
      </w:pPr>
    </w:p>
    <w:p w14:paraId="1154781C" w14:textId="693DD762" w:rsidR="00B13817" w:rsidRDefault="00B13817" w:rsidP="00CC443C">
      <w:pPr>
        <w:spacing w:after="0"/>
        <w:rPr>
          <w:rFonts w:cs="Arial"/>
        </w:rPr>
      </w:pPr>
      <w:r w:rsidRPr="00B2137B">
        <w:rPr>
          <w:rFonts w:cs="Arial"/>
        </w:rPr>
        <w:lastRenderedPageBreak/>
        <w:t xml:space="preserve">The benefits of managed pooled investments include access to investments with large ‘lot sizes’ e.g. property and infrastructure and exposure to a more diversified range of underlying assets in the most </w:t>
      </w:r>
      <w:r w:rsidR="00873E5A" w:rsidRPr="00B2137B">
        <w:rPr>
          <w:rFonts w:cs="Arial"/>
        </w:rPr>
        <w:t>cost-effective</w:t>
      </w:r>
      <w:r w:rsidRPr="00B2137B">
        <w:rPr>
          <w:rFonts w:cs="Arial"/>
        </w:rPr>
        <w:t xml:space="preserve"> way. In selecting pooled funds the University</w:t>
      </w:r>
      <w:r>
        <w:rPr>
          <w:rFonts w:cs="Arial"/>
        </w:rPr>
        <w:t>, via the OCIO,</w:t>
      </w:r>
      <w:r w:rsidRPr="00B2137B">
        <w:rPr>
          <w:rFonts w:cs="Arial"/>
        </w:rPr>
        <w:t xml:space="preserve"> takes into consideration pooled funds’ compatibility with the stewardship, ESG integration and exclusion principles deta</w:t>
      </w:r>
      <w:r>
        <w:rPr>
          <w:rFonts w:cs="Arial"/>
        </w:rPr>
        <w:t>iled in this P</w:t>
      </w:r>
      <w:r w:rsidRPr="00B2137B">
        <w:rPr>
          <w:rFonts w:cs="Arial"/>
        </w:rPr>
        <w:t>olicy.</w:t>
      </w:r>
    </w:p>
    <w:p w14:paraId="709082F7" w14:textId="77777777" w:rsidR="00B13817" w:rsidRPr="00B2137B" w:rsidRDefault="00B13817" w:rsidP="00CC443C">
      <w:pPr>
        <w:pStyle w:val="Heading2"/>
      </w:pPr>
      <w:bookmarkStart w:id="10" w:name="_Toc188866937"/>
      <w:r w:rsidRPr="00B2137B">
        <w:t>Governance</w:t>
      </w:r>
      <w:bookmarkEnd w:id="10"/>
      <w:r w:rsidRPr="00B2137B">
        <w:t xml:space="preserve"> </w:t>
      </w:r>
    </w:p>
    <w:p w14:paraId="2D287E30" w14:textId="72850A2F" w:rsidR="00B13817" w:rsidRPr="00534333" w:rsidRDefault="00B13817" w:rsidP="00CC443C">
      <w:pPr>
        <w:spacing w:after="0"/>
        <w:rPr>
          <w:rFonts w:cs="Arial"/>
        </w:rPr>
      </w:pPr>
      <w:r>
        <w:rPr>
          <w:rFonts w:cs="Arial"/>
        </w:rPr>
        <w:t>T</w:t>
      </w:r>
      <w:r w:rsidRPr="00B2137B">
        <w:rPr>
          <w:rFonts w:cs="Arial"/>
        </w:rPr>
        <w:t>he University’s Investment Sub-Com</w:t>
      </w:r>
      <w:r>
        <w:rPr>
          <w:rFonts w:cs="Arial"/>
        </w:rPr>
        <w:t>mittee monitors the</w:t>
      </w:r>
      <w:r w:rsidRPr="00B2137B">
        <w:rPr>
          <w:rFonts w:cs="Arial"/>
        </w:rPr>
        <w:t xml:space="preserve"> delivery</w:t>
      </w:r>
      <w:r>
        <w:rPr>
          <w:rFonts w:cs="Arial"/>
        </w:rPr>
        <w:t xml:space="preserve"> of this Policy</w:t>
      </w:r>
      <w:r w:rsidRPr="00B2137B">
        <w:rPr>
          <w:rFonts w:cs="Arial"/>
        </w:rPr>
        <w:t xml:space="preserve">.  The Investment Sub-Committee reports to the Strategy, Planning and Resources Committee (SPRC) </w:t>
      </w:r>
      <w:r>
        <w:rPr>
          <w:rFonts w:cs="Arial"/>
        </w:rPr>
        <w:t>on this P</w:t>
      </w:r>
      <w:r w:rsidRPr="00B2137B">
        <w:rPr>
          <w:rFonts w:cs="Arial"/>
        </w:rPr>
        <w:t>olicy. The Investment Sub-Committee is also responsible for considering r</w:t>
      </w:r>
      <w:r>
        <w:rPr>
          <w:rFonts w:cs="Arial"/>
        </w:rPr>
        <w:t>epresentations concerning this P</w:t>
      </w:r>
      <w:r w:rsidRPr="00B2137B">
        <w:rPr>
          <w:rFonts w:cs="Arial"/>
        </w:rPr>
        <w:t>olicy</w:t>
      </w:r>
      <w:r>
        <w:rPr>
          <w:rFonts w:cs="Arial"/>
        </w:rPr>
        <w:t>, in collaboration with the University’s Sustainability Steering Group</w:t>
      </w:r>
      <w:r w:rsidRPr="00B2137B">
        <w:rPr>
          <w:rFonts w:cs="Arial"/>
        </w:rPr>
        <w:t xml:space="preserve"> and making recommendations to SPRC </w:t>
      </w:r>
      <w:r>
        <w:rPr>
          <w:rFonts w:cs="Arial"/>
        </w:rPr>
        <w:t xml:space="preserve">for approval </w:t>
      </w:r>
      <w:r w:rsidRPr="00B2137B">
        <w:rPr>
          <w:rFonts w:cs="Arial"/>
        </w:rPr>
        <w:t xml:space="preserve">as appropriate. </w:t>
      </w:r>
      <w:r>
        <w:rPr>
          <w:rFonts w:cs="Arial"/>
        </w:rPr>
        <w:t xml:space="preserve">SPRC is the University’s </w:t>
      </w:r>
      <w:r w:rsidRPr="002F1F2B">
        <w:rPr>
          <w:rFonts w:cs="Arial"/>
        </w:rPr>
        <w:t xml:space="preserve">decision-making Committee </w:t>
      </w:r>
      <w:r>
        <w:rPr>
          <w:rFonts w:cs="Arial"/>
        </w:rPr>
        <w:t>regarding its</w:t>
      </w:r>
      <w:r w:rsidRPr="002F1F2B">
        <w:rPr>
          <w:rFonts w:cs="Arial"/>
        </w:rPr>
        <w:t xml:space="preserve"> investments</w:t>
      </w:r>
      <w:r>
        <w:rPr>
          <w:rFonts w:cs="Arial"/>
        </w:rPr>
        <w:t xml:space="preserve"> and approves updates to this policy. </w:t>
      </w:r>
    </w:p>
    <w:p w14:paraId="057DB243" w14:textId="77777777" w:rsidR="00B13817" w:rsidRPr="00B2137B" w:rsidRDefault="00B13817" w:rsidP="00CC443C">
      <w:pPr>
        <w:pStyle w:val="Heading2"/>
      </w:pPr>
      <w:bookmarkStart w:id="11" w:name="_Toc188866938"/>
      <w:r w:rsidRPr="00B2137B">
        <w:t>Monitoring</w:t>
      </w:r>
      <w:bookmarkEnd w:id="11"/>
    </w:p>
    <w:p w14:paraId="3A3909E3" w14:textId="65F339DE" w:rsidR="00B13817" w:rsidRPr="004B64C8" w:rsidRDefault="00873E5A" w:rsidP="00CC443C">
      <w:pPr>
        <w:numPr>
          <w:ilvl w:val="0"/>
          <w:numId w:val="26"/>
        </w:numPr>
        <w:autoSpaceDE w:val="0"/>
        <w:autoSpaceDN w:val="0"/>
        <w:adjustRightInd w:val="0"/>
        <w:spacing w:after="200" w:line="240" w:lineRule="auto"/>
        <w:rPr>
          <w:rFonts w:cs="Arial"/>
          <w:color w:val="FF0000"/>
        </w:rPr>
      </w:pPr>
      <w:r w:rsidRPr="004B64C8">
        <w:rPr>
          <w:rFonts w:cs="Arial"/>
        </w:rPr>
        <w:t>To</w:t>
      </w:r>
      <w:r w:rsidR="00B13817" w:rsidRPr="004B64C8">
        <w:rPr>
          <w:rFonts w:cs="Arial"/>
        </w:rPr>
        <w:t xml:space="preserve"> monitor the implementation </w:t>
      </w:r>
      <w:r w:rsidR="00B13817">
        <w:rPr>
          <w:rFonts w:cs="Arial"/>
        </w:rPr>
        <w:t>and ongoing adherence to this P</w:t>
      </w:r>
      <w:r w:rsidR="00B13817" w:rsidRPr="004B64C8">
        <w:rPr>
          <w:rFonts w:cs="Arial"/>
        </w:rPr>
        <w:t>olicy</w:t>
      </w:r>
      <w:r>
        <w:rPr>
          <w:rFonts w:cs="Arial"/>
        </w:rPr>
        <w:t>,</w:t>
      </w:r>
      <w:r w:rsidR="00B13817" w:rsidRPr="004B64C8">
        <w:rPr>
          <w:rFonts w:cs="Arial"/>
        </w:rPr>
        <w:t xml:space="preserve"> the University will: </w:t>
      </w:r>
    </w:p>
    <w:p w14:paraId="393D160B" w14:textId="77777777" w:rsidR="00B13817" w:rsidRDefault="00B13817" w:rsidP="00CC443C">
      <w:pPr>
        <w:pStyle w:val="ListParagraph"/>
        <w:numPr>
          <w:ilvl w:val="0"/>
          <w:numId w:val="28"/>
        </w:numPr>
        <w:autoSpaceDE w:val="0"/>
        <w:autoSpaceDN w:val="0"/>
        <w:adjustRightInd w:val="0"/>
        <w:spacing w:before="0" w:after="160" w:line="240" w:lineRule="auto"/>
        <w:contextualSpacing/>
        <w:rPr>
          <w:rFonts w:cs="Arial"/>
        </w:rPr>
      </w:pPr>
      <w:r>
        <w:rPr>
          <w:rFonts w:cs="Arial"/>
        </w:rPr>
        <w:t>P</w:t>
      </w:r>
      <w:r w:rsidRPr="00B2137B">
        <w:rPr>
          <w:rFonts w:cs="Arial"/>
        </w:rPr>
        <w:t>ublish th</w:t>
      </w:r>
      <w:r>
        <w:rPr>
          <w:rFonts w:cs="Arial"/>
        </w:rPr>
        <w:t>is</w:t>
      </w:r>
      <w:r w:rsidRPr="00B2137B">
        <w:rPr>
          <w:rFonts w:cs="Arial"/>
        </w:rPr>
        <w:t xml:space="preserve"> Responsible Investment Policy on its </w:t>
      </w:r>
      <w:proofErr w:type="gramStart"/>
      <w:r w:rsidRPr="00B2137B">
        <w:rPr>
          <w:rFonts w:cs="Arial"/>
        </w:rPr>
        <w:t>website;</w:t>
      </w:r>
      <w:proofErr w:type="gramEnd"/>
    </w:p>
    <w:p w14:paraId="77836FE5" w14:textId="3EFFF056" w:rsidR="00B13817" w:rsidRPr="00B2137B" w:rsidRDefault="00B13817" w:rsidP="00CC443C">
      <w:pPr>
        <w:pStyle w:val="ListParagraph"/>
        <w:numPr>
          <w:ilvl w:val="0"/>
          <w:numId w:val="28"/>
        </w:numPr>
        <w:autoSpaceDE w:val="0"/>
        <w:autoSpaceDN w:val="0"/>
        <w:adjustRightInd w:val="0"/>
        <w:spacing w:before="0" w:after="160" w:line="240" w:lineRule="auto"/>
        <w:contextualSpacing/>
        <w:rPr>
          <w:rFonts w:cs="Arial"/>
        </w:rPr>
      </w:pPr>
      <w:r>
        <w:rPr>
          <w:rFonts w:cs="Arial"/>
        </w:rPr>
        <w:t xml:space="preserve">Publish a list of the University’s external investment managers and investment funds on its website, which is updated at least </w:t>
      </w:r>
      <w:proofErr w:type="gramStart"/>
      <w:r>
        <w:rPr>
          <w:rFonts w:cs="Arial"/>
        </w:rPr>
        <w:t>annually;</w:t>
      </w:r>
      <w:proofErr w:type="gramEnd"/>
    </w:p>
    <w:p w14:paraId="0868A479" w14:textId="77777777" w:rsidR="00B13817" w:rsidRPr="00B2137B" w:rsidRDefault="00B13817" w:rsidP="00CC443C">
      <w:pPr>
        <w:pStyle w:val="ListParagraph"/>
        <w:numPr>
          <w:ilvl w:val="0"/>
          <w:numId w:val="28"/>
        </w:numPr>
        <w:autoSpaceDE w:val="0"/>
        <w:autoSpaceDN w:val="0"/>
        <w:adjustRightInd w:val="0"/>
        <w:spacing w:before="0" w:after="160" w:line="240" w:lineRule="auto"/>
        <w:contextualSpacing/>
        <w:rPr>
          <w:rFonts w:cs="Arial"/>
        </w:rPr>
      </w:pPr>
      <w:r>
        <w:rPr>
          <w:rFonts w:cs="Arial"/>
        </w:rPr>
        <w:t>I</w:t>
      </w:r>
      <w:r w:rsidRPr="00B2137B">
        <w:rPr>
          <w:rFonts w:cs="Arial"/>
        </w:rPr>
        <w:t xml:space="preserve">ssue copies of the Responsible Investment Policy to its </w:t>
      </w:r>
      <w:r>
        <w:rPr>
          <w:rFonts w:cs="Arial"/>
        </w:rPr>
        <w:t xml:space="preserve">OCIO, </w:t>
      </w:r>
      <w:r w:rsidRPr="00B2137B">
        <w:rPr>
          <w:rFonts w:cs="Arial"/>
        </w:rPr>
        <w:t>responsible for managing the University’s investments</w:t>
      </w:r>
      <w:r>
        <w:rPr>
          <w:rFonts w:cs="Arial"/>
        </w:rPr>
        <w:t>,</w:t>
      </w:r>
      <w:r w:rsidRPr="00B2137B">
        <w:rPr>
          <w:rFonts w:cs="Arial"/>
        </w:rPr>
        <w:t xml:space="preserve"> and hold regular meetings to </w:t>
      </w:r>
      <w:r w:rsidRPr="004B64C8">
        <w:rPr>
          <w:rFonts w:cs="Arial"/>
        </w:rPr>
        <w:t>monitor adherence</w:t>
      </w:r>
      <w:r>
        <w:rPr>
          <w:rFonts w:cs="Arial"/>
        </w:rPr>
        <w:t xml:space="preserve"> with the </w:t>
      </w:r>
      <w:proofErr w:type="gramStart"/>
      <w:r>
        <w:rPr>
          <w:rFonts w:cs="Arial"/>
        </w:rPr>
        <w:t>P</w:t>
      </w:r>
      <w:r w:rsidRPr="00B2137B">
        <w:rPr>
          <w:rFonts w:cs="Arial"/>
        </w:rPr>
        <w:t>olicy;</w:t>
      </w:r>
      <w:proofErr w:type="gramEnd"/>
      <w:r w:rsidRPr="00B2137B">
        <w:rPr>
          <w:rFonts w:cs="Arial"/>
        </w:rPr>
        <w:t xml:space="preserve"> </w:t>
      </w:r>
    </w:p>
    <w:p w14:paraId="317A683C" w14:textId="77777777" w:rsidR="00B13817" w:rsidRPr="00385687" w:rsidRDefault="00B13817" w:rsidP="00CC443C">
      <w:pPr>
        <w:pStyle w:val="ListParagraph"/>
        <w:numPr>
          <w:ilvl w:val="0"/>
          <w:numId w:val="28"/>
        </w:numPr>
        <w:autoSpaceDE w:val="0"/>
        <w:autoSpaceDN w:val="0"/>
        <w:adjustRightInd w:val="0"/>
        <w:spacing w:before="0" w:after="160" w:line="240" w:lineRule="auto"/>
        <w:contextualSpacing/>
        <w:rPr>
          <w:rFonts w:cs="Arial"/>
        </w:rPr>
      </w:pPr>
      <w:r w:rsidRPr="00E853D7">
        <w:rPr>
          <w:rFonts w:cs="Arial"/>
        </w:rPr>
        <w:t xml:space="preserve">Publish assurance </w:t>
      </w:r>
      <w:r>
        <w:rPr>
          <w:rFonts w:cs="Arial"/>
        </w:rPr>
        <w:t>from the</w:t>
      </w:r>
      <w:r w:rsidRPr="00E853D7">
        <w:rPr>
          <w:rFonts w:cs="Arial"/>
        </w:rPr>
        <w:t xml:space="preserve"> OCIO </w:t>
      </w:r>
      <w:r>
        <w:rPr>
          <w:rFonts w:cs="Arial"/>
        </w:rPr>
        <w:t>that the University’s funds are being invested by the OCIO</w:t>
      </w:r>
      <w:r w:rsidRPr="00E853D7">
        <w:rPr>
          <w:rFonts w:cs="Arial"/>
        </w:rPr>
        <w:t xml:space="preserve"> in full compliance with this </w:t>
      </w:r>
      <w:proofErr w:type="gramStart"/>
      <w:r w:rsidRPr="00E853D7">
        <w:rPr>
          <w:rFonts w:cs="Arial"/>
        </w:rPr>
        <w:t>Policy</w:t>
      </w:r>
      <w:r>
        <w:rPr>
          <w:rFonts w:cs="Arial"/>
        </w:rPr>
        <w:t>;</w:t>
      </w:r>
      <w:proofErr w:type="gramEnd"/>
      <w:r w:rsidRPr="00E853D7">
        <w:rPr>
          <w:rFonts w:cs="Arial"/>
        </w:rPr>
        <w:t xml:space="preserve"> </w:t>
      </w:r>
    </w:p>
    <w:p w14:paraId="3FFD9B11" w14:textId="77777777" w:rsidR="00B13817" w:rsidRPr="00B2137B" w:rsidRDefault="00B13817" w:rsidP="00CC443C">
      <w:pPr>
        <w:pStyle w:val="ListParagraph"/>
        <w:numPr>
          <w:ilvl w:val="0"/>
          <w:numId w:val="28"/>
        </w:numPr>
        <w:autoSpaceDE w:val="0"/>
        <w:autoSpaceDN w:val="0"/>
        <w:adjustRightInd w:val="0"/>
        <w:spacing w:before="0" w:after="160" w:line="240" w:lineRule="auto"/>
        <w:contextualSpacing/>
        <w:rPr>
          <w:rFonts w:cs="Arial"/>
        </w:rPr>
      </w:pPr>
      <w:r>
        <w:rPr>
          <w:rFonts w:cs="Arial"/>
        </w:rPr>
        <w:t>I</w:t>
      </w:r>
      <w:r w:rsidRPr="00B2137B">
        <w:rPr>
          <w:rFonts w:cs="Arial"/>
        </w:rPr>
        <w:t>nvite a Student Representative Officer to attend</w:t>
      </w:r>
      <w:r>
        <w:rPr>
          <w:rFonts w:cs="Arial"/>
        </w:rPr>
        <w:t xml:space="preserve"> quarterly Investment</w:t>
      </w:r>
      <w:r w:rsidRPr="00B2137B">
        <w:rPr>
          <w:rFonts w:cs="Arial"/>
        </w:rPr>
        <w:t xml:space="preserve"> Sub-Committee meeting</w:t>
      </w:r>
      <w:r>
        <w:rPr>
          <w:rFonts w:cs="Arial"/>
        </w:rPr>
        <w:t>s, which include</w:t>
      </w:r>
      <w:r w:rsidRPr="00B2137B">
        <w:rPr>
          <w:rFonts w:cs="Arial"/>
        </w:rPr>
        <w:t xml:space="preserve"> </w:t>
      </w:r>
      <w:r>
        <w:rPr>
          <w:rFonts w:cs="Arial"/>
        </w:rPr>
        <w:t xml:space="preserve">OCIO </w:t>
      </w:r>
      <w:r w:rsidRPr="00B2137B">
        <w:rPr>
          <w:rFonts w:cs="Arial"/>
        </w:rPr>
        <w:t xml:space="preserve">review </w:t>
      </w:r>
      <w:proofErr w:type="gramStart"/>
      <w:r w:rsidRPr="00B2137B">
        <w:rPr>
          <w:rFonts w:cs="Arial"/>
        </w:rPr>
        <w:t>meetings;</w:t>
      </w:r>
      <w:proofErr w:type="gramEnd"/>
    </w:p>
    <w:p w14:paraId="7F32A9C6" w14:textId="77777777" w:rsidR="00B13817" w:rsidRPr="00B2137B" w:rsidRDefault="00B13817" w:rsidP="00CC443C">
      <w:pPr>
        <w:pStyle w:val="ListParagraph"/>
        <w:numPr>
          <w:ilvl w:val="0"/>
          <w:numId w:val="28"/>
        </w:numPr>
        <w:autoSpaceDE w:val="0"/>
        <w:autoSpaceDN w:val="0"/>
        <w:adjustRightInd w:val="0"/>
        <w:spacing w:before="0" w:after="160" w:line="240" w:lineRule="auto"/>
        <w:contextualSpacing/>
        <w:rPr>
          <w:rFonts w:cs="Arial"/>
        </w:rPr>
      </w:pPr>
      <w:r>
        <w:rPr>
          <w:rFonts w:cs="Arial"/>
        </w:rPr>
        <w:t>C</w:t>
      </w:r>
      <w:r w:rsidRPr="00B2137B">
        <w:rPr>
          <w:rFonts w:cs="Arial"/>
        </w:rPr>
        <w:t xml:space="preserve">onsider representation from members of the University community that the University should not invest, or should disinvest, in specific areas. </w:t>
      </w:r>
    </w:p>
    <w:p w14:paraId="55A7FF86" w14:textId="77777777" w:rsidR="00B13817" w:rsidRPr="00B2137B" w:rsidRDefault="00B13817" w:rsidP="00CC443C">
      <w:pPr>
        <w:pStyle w:val="ListParagraph"/>
        <w:numPr>
          <w:ilvl w:val="0"/>
          <w:numId w:val="26"/>
        </w:numPr>
        <w:autoSpaceDE w:val="0"/>
        <w:autoSpaceDN w:val="0"/>
        <w:adjustRightInd w:val="0"/>
        <w:spacing w:before="0" w:after="0" w:line="240" w:lineRule="auto"/>
        <w:contextualSpacing/>
        <w:rPr>
          <w:rFonts w:cs="Arial"/>
          <w:color w:val="FF0000"/>
          <w:sz w:val="21"/>
          <w:szCs w:val="21"/>
        </w:rPr>
      </w:pPr>
    </w:p>
    <w:p w14:paraId="632AE643" w14:textId="792DE7B0" w:rsidR="00B13817" w:rsidRPr="00534333" w:rsidRDefault="00B13817" w:rsidP="00CC443C">
      <w:pPr>
        <w:spacing w:after="0"/>
        <w:rPr>
          <w:rFonts w:cs="Arial"/>
          <w:b/>
        </w:rPr>
      </w:pPr>
      <w:r w:rsidRPr="00B2137B">
        <w:rPr>
          <w:rFonts w:cs="Arial"/>
        </w:rPr>
        <w:t>In the event of an investment</w:t>
      </w:r>
      <w:r>
        <w:rPr>
          <w:rFonts w:cs="Arial"/>
        </w:rPr>
        <w:t xml:space="preserve"> being considered by Investment</w:t>
      </w:r>
      <w:r w:rsidRPr="00B2137B">
        <w:rPr>
          <w:rFonts w:cs="Arial"/>
        </w:rPr>
        <w:t xml:space="preserve"> Sub-Committee to be invested in funds or activities that are inconsistent with this Policy, the Investment Sub-Committee will review the position with </w:t>
      </w:r>
      <w:r>
        <w:rPr>
          <w:rFonts w:cs="Arial"/>
        </w:rPr>
        <w:t>the</w:t>
      </w:r>
      <w:r w:rsidRPr="00B2137B">
        <w:rPr>
          <w:rFonts w:cs="Arial"/>
        </w:rPr>
        <w:t xml:space="preserve"> </w:t>
      </w:r>
      <w:r>
        <w:rPr>
          <w:rFonts w:cs="Arial"/>
        </w:rPr>
        <w:t xml:space="preserve">OCIO </w:t>
      </w:r>
      <w:r w:rsidRPr="00B2137B">
        <w:rPr>
          <w:rFonts w:cs="Arial"/>
        </w:rPr>
        <w:t>and seek to reallocate funds as appropriate.</w:t>
      </w:r>
    </w:p>
    <w:p w14:paraId="7FD0819C" w14:textId="77777777" w:rsidR="00B13817" w:rsidRPr="00B2137B" w:rsidRDefault="00B13817" w:rsidP="00CC443C">
      <w:pPr>
        <w:pStyle w:val="Heading2"/>
      </w:pPr>
      <w:bookmarkStart w:id="12" w:name="_Toc188866939"/>
      <w:r w:rsidRPr="00FD4C31">
        <w:t>Representation process</w:t>
      </w:r>
      <w:bookmarkEnd w:id="12"/>
      <w:r w:rsidRPr="00B2137B">
        <w:t xml:space="preserve"> </w:t>
      </w:r>
    </w:p>
    <w:p w14:paraId="67C55E77" w14:textId="77777777" w:rsidR="00B13817" w:rsidRDefault="00B13817" w:rsidP="00CC443C">
      <w:pPr>
        <w:spacing w:after="0"/>
        <w:rPr>
          <w:rFonts w:cs="Arial"/>
        </w:rPr>
      </w:pPr>
      <w:r w:rsidRPr="006C07C8">
        <w:rPr>
          <w:rFonts w:cs="Arial"/>
        </w:rPr>
        <w:t>The Responsible Investment Policy will be published on the University’s external website, with</w:t>
      </w:r>
      <w:r>
        <w:rPr>
          <w:rFonts w:cs="Arial"/>
        </w:rPr>
        <w:t xml:space="preserve"> an</w:t>
      </w:r>
      <w:r w:rsidRPr="006C07C8">
        <w:rPr>
          <w:rFonts w:cs="Arial"/>
        </w:rPr>
        <w:t xml:space="preserve"> appropriate </w:t>
      </w:r>
      <w:r w:rsidRPr="00E853D7">
        <w:rPr>
          <w:rFonts w:cs="Arial"/>
        </w:rPr>
        <w:t>feedback option</w:t>
      </w:r>
      <w:r w:rsidRPr="006C07C8">
        <w:rPr>
          <w:rFonts w:cs="Arial"/>
        </w:rPr>
        <w:t>, enabling members of the University community to have an opportunity to engage with the Policy.</w:t>
      </w:r>
      <w:r w:rsidRPr="00D7002F">
        <w:rPr>
          <w:rFonts w:cs="Arial"/>
        </w:rPr>
        <w:t xml:space="preserve"> </w:t>
      </w:r>
    </w:p>
    <w:p w14:paraId="19C5F059" w14:textId="77777777" w:rsidR="00B13817" w:rsidRDefault="00B13817" w:rsidP="00CC443C">
      <w:pPr>
        <w:spacing w:after="0"/>
        <w:rPr>
          <w:rFonts w:cs="Arial"/>
        </w:rPr>
      </w:pPr>
    </w:p>
    <w:p w14:paraId="3F03B235" w14:textId="55F920C4" w:rsidR="00B13817" w:rsidRPr="00B2137B" w:rsidRDefault="00B13817" w:rsidP="00CC443C">
      <w:pPr>
        <w:spacing w:after="0"/>
        <w:rPr>
          <w:rFonts w:cs="Arial"/>
          <w:b/>
          <w:u w:val="single"/>
        </w:rPr>
      </w:pPr>
      <w:r w:rsidRPr="00D7002F">
        <w:rPr>
          <w:rFonts w:cs="Arial"/>
        </w:rPr>
        <w:lastRenderedPageBreak/>
        <w:t>Staff and students are also given an opportunity to engage with this Policy via their staff and student representatives.</w:t>
      </w:r>
      <w:r w:rsidRPr="00493FDC">
        <w:rPr>
          <w:rFonts w:cs="Arial"/>
        </w:rPr>
        <w:t xml:space="preserve"> Membership of the </w:t>
      </w:r>
      <w:r>
        <w:rPr>
          <w:rFonts w:cs="Arial"/>
        </w:rPr>
        <w:t xml:space="preserve">University’s </w:t>
      </w:r>
      <w:r w:rsidRPr="00493FDC">
        <w:rPr>
          <w:rFonts w:cs="Arial"/>
        </w:rPr>
        <w:t>Sustainability Steering Group and SPRC include a Student Representative Officer.</w:t>
      </w:r>
    </w:p>
    <w:p w14:paraId="0BD87EC3" w14:textId="77777777" w:rsidR="00B13817" w:rsidRPr="00B2137B" w:rsidRDefault="00B13817" w:rsidP="00CC443C">
      <w:pPr>
        <w:pStyle w:val="Heading2"/>
      </w:pPr>
      <w:bookmarkStart w:id="13" w:name="_Toc188866940"/>
      <w:r w:rsidRPr="00B2137B">
        <w:t>Review process</w:t>
      </w:r>
      <w:bookmarkEnd w:id="13"/>
    </w:p>
    <w:p w14:paraId="579E909D" w14:textId="77777777" w:rsidR="00B13817" w:rsidRDefault="00B13817" w:rsidP="00CC443C">
      <w:pPr>
        <w:spacing w:after="0"/>
        <w:rPr>
          <w:rFonts w:cs="Arial"/>
        </w:rPr>
      </w:pPr>
      <w:r w:rsidRPr="00B2137B">
        <w:rPr>
          <w:rFonts w:cs="Arial"/>
        </w:rPr>
        <w:t xml:space="preserve">The Responsible Investment Policy </w:t>
      </w:r>
      <w:r>
        <w:rPr>
          <w:rFonts w:cs="Arial"/>
        </w:rPr>
        <w:t>is</w:t>
      </w:r>
      <w:r w:rsidRPr="00B2137B">
        <w:rPr>
          <w:rFonts w:cs="Arial"/>
        </w:rPr>
        <w:t xml:space="preserve"> subject to an annual review, evaluation and monitoring process undertaken by the </w:t>
      </w:r>
      <w:r>
        <w:rPr>
          <w:rFonts w:cs="Arial"/>
        </w:rPr>
        <w:t>Investment Sub-</w:t>
      </w:r>
      <w:r w:rsidRPr="00B2137B">
        <w:rPr>
          <w:rFonts w:cs="Arial"/>
        </w:rPr>
        <w:t xml:space="preserve">Committee, </w:t>
      </w:r>
      <w:r>
        <w:rPr>
          <w:rFonts w:cs="Arial"/>
        </w:rPr>
        <w:t>who consider the P</w:t>
      </w:r>
      <w:r w:rsidRPr="00B2137B">
        <w:rPr>
          <w:rFonts w:cs="Arial"/>
        </w:rPr>
        <w:t xml:space="preserve">olicy, in collaboration with the University’s Sustainability Steering Group, and </w:t>
      </w:r>
      <w:r>
        <w:rPr>
          <w:rFonts w:cs="Arial"/>
        </w:rPr>
        <w:t>make recommendations to</w:t>
      </w:r>
      <w:r w:rsidRPr="00B2137B">
        <w:rPr>
          <w:rFonts w:cs="Arial"/>
        </w:rPr>
        <w:t xml:space="preserve"> SPRC for consideration</w:t>
      </w:r>
      <w:r>
        <w:rPr>
          <w:rFonts w:cs="Arial"/>
        </w:rPr>
        <w:t xml:space="preserve">. </w:t>
      </w:r>
    </w:p>
    <w:p w14:paraId="791EAF39" w14:textId="77777777" w:rsidR="00B13817" w:rsidRDefault="00B13817" w:rsidP="00CC443C">
      <w:pPr>
        <w:spacing w:after="0"/>
        <w:rPr>
          <w:rFonts w:cs="Arial"/>
        </w:rPr>
      </w:pPr>
    </w:p>
    <w:p w14:paraId="293515E5" w14:textId="77777777" w:rsidR="00B13817" w:rsidRPr="00B2137B" w:rsidRDefault="00B13817" w:rsidP="00CC443C">
      <w:pPr>
        <w:spacing w:after="0"/>
        <w:rPr>
          <w:rFonts w:cs="Arial"/>
        </w:rPr>
      </w:pPr>
      <w:r>
        <w:rPr>
          <w:rFonts w:cs="Arial"/>
        </w:rPr>
        <w:t>Date reviewed: 23 January 2025</w:t>
      </w:r>
    </w:p>
    <w:p w14:paraId="0CFE00F4" w14:textId="1CB88DED" w:rsidR="001A768A" w:rsidRPr="0085726D" w:rsidRDefault="001A768A" w:rsidP="00CC443C"/>
    <w:sectPr w:rsidR="001A768A" w:rsidRPr="0085726D" w:rsidSect="001613C5">
      <w:headerReference w:type="default" r:id="rId11"/>
      <w:footerReference w:type="default" r:id="rId1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6537" w14:textId="77777777" w:rsidR="00A3145E" w:rsidRDefault="00A3145E" w:rsidP="007140C0">
      <w:pPr>
        <w:spacing w:after="0" w:line="240" w:lineRule="auto"/>
      </w:pPr>
      <w:r>
        <w:separator/>
      </w:r>
    </w:p>
  </w:endnote>
  <w:endnote w:type="continuationSeparator" w:id="0">
    <w:p w14:paraId="41839DEF" w14:textId="77777777" w:rsidR="00A3145E" w:rsidRDefault="00A3145E" w:rsidP="007140C0">
      <w:pPr>
        <w:spacing w:after="0" w:line="240" w:lineRule="auto"/>
      </w:pPr>
      <w:r>
        <w:continuationSeparator/>
      </w:r>
    </w:p>
  </w:endnote>
  <w:endnote w:type="continuationNotice" w:id="1">
    <w:p w14:paraId="7080B2C2" w14:textId="77777777" w:rsidR="00A3145E" w:rsidRDefault="00A31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787981"/>
      <w:docPartObj>
        <w:docPartGallery w:val="Page Numbers (Bottom of Page)"/>
        <w:docPartUnique/>
      </w:docPartObj>
    </w:sdtPr>
    <w:sdtEndPr>
      <w:rPr>
        <w:noProof/>
      </w:rPr>
    </w:sdtEndPr>
    <w:sdtContent>
      <w:p w14:paraId="3AC2A18C" w14:textId="4A4E0B1F" w:rsidR="00772044" w:rsidRDefault="007720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2B3566" w14:textId="77777777" w:rsidR="00120CB9" w:rsidRDefault="0012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8CDE" w14:textId="77777777" w:rsidR="00A3145E" w:rsidRDefault="00A3145E" w:rsidP="007140C0">
      <w:pPr>
        <w:spacing w:after="0" w:line="240" w:lineRule="auto"/>
      </w:pPr>
      <w:r>
        <w:separator/>
      </w:r>
    </w:p>
  </w:footnote>
  <w:footnote w:type="continuationSeparator" w:id="0">
    <w:p w14:paraId="5CCA1086" w14:textId="77777777" w:rsidR="00A3145E" w:rsidRDefault="00A3145E" w:rsidP="007140C0">
      <w:pPr>
        <w:spacing w:after="0" w:line="240" w:lineRule="auto"/>
      </w:pPr>
      <w:r>
        <w:continuationSeparator/>
      </w:r>
    </w:p>
  </w:footnote>
  <w:footnote w:type="continuationNotice" w:id="1">
    <w:p w14:paraId="56CFAD37" w14:textId="77777777" w:rsidR="00A3145E" w:rsidRDefault="00A31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887D" w14:textId="659168A2" w:rsidR="007140C0" w:rsidRPr="007140C0" w:rsidRDefault="0031704B" w:rsidP="0031704B">
    <w:pPr>
      <w:pStyle w:val="Header"/>
      <w:spacing w:after="240"/>
    </w:pPr>
    <w:r>
      <w:rPr>
        <w:noProof/>
      </w:rPr>
      <w:drawing>
        <wp:inline distT="0" distB="0" distL="0" distR="0" wp14:anchorId="1667EA7E" wp14:editId="1169091A">
          <wp:extent cx="2732690" cy="681421"/>
          <wp:effectExtent l="0" t="0" r="0" b="4445"/>
          <wp:docPr id="1585809734" name="Picture 1" descr="University of Birmingham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09734" name="Picture 1" descr="University of Birmingham crest."/>
                  <pic:cNvPicPr/>
                </pic:nvPicPr>
                <pic:blipFill>
                  <a:blip r:embed="rId1">
                    <a:extLst>
                      <a:ext uri="{28A0092B-C50C-407E-A947-70E740481C1C}">
                        <a14:useLocalDpi xmlns:a14="http://schemas.microsoft.com/office/drawing/2010/main" val="0"/>
                      </a:ext>
                    </a:extLst>
                  </a:blip>
                  <a:stretch>
                    <a:fillRect/>
                  </a:stretch>
                </pic:blipFill>
                <pic:spPr>
                  <a:xfrm>
                    <a:off x="0" y="0"/>
                    <a:ext cx="2751263" cy="686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2A4"/>
    <w:multiLevelType w:val="hybridMultilevel"/>
    <w:tmpl w:val="1BB8AA9A"/>
    <w:lvl w:ilvl="0" w:tplc="10090001">
      <w:start w:val="1"/>
      <w:numFmt w:val="bullet"/>
      <w:lvlText w:val=""/>
      <w:lvlJc w:val="left"/>
      <w:pPr>
        <w:ind w:left="3762" w:hanging="360"/>
      </w:pPr>
      <w:rPr>
        <w:rFonts w:ascii="Symbol" w:hAnsi="Symbol" w:hint="default"/>
      </w:rPr>
    </w:lvl>
    <w:lvl w:ilvl="1" w:tplc="10090003" w:tentative="1">
      <w:start w:val="1"/>
      <w:numFmt w:val="bullet"/>
      <w:lvlText w:val="o"/>
      <w:lvlJc w:val="left"/>
      <w:pPr>
        <w:ind w:left="4482" w:hanging="360"/>
      </w:pPr>
      <w:rPr>
        <w:rFonts w:ascii="Courier New" w:hAnsi="Courier New" w:cs="Courier New" w:hint="default"/>
      </w:rPr>
    </w:lvl>
    <w:lvl w:ilvl="2" w:tplc="10090005" w:tentative="1">
      <w:start w:val="1"/>
      <w:numFmt w:val="bullet"/>
      <w:lvlText w:val=""/>
      <w:lvlJc w:val="left"/>
      <w:pPr>
        <w:ind w:left="5202" w:hanging="360"/>
      </w:pPr>
      <w:rPr>
        <w:rFonts w:ascii="Wingdings" w:hAnsi="Wingdings" w:hint="default"/>
      </w:rPr>
    </w:lvl>
    <w:lvl w:ilvl="3" w:tplc="10090001" w:tentative="1">
      <w:start w:val="1"/>
      <w:numFmt w:val="bullet"/>
      <w:lvlText w:val=""/>
      <w:lvlJc w:val="left"/>
      <w:pPr>
        <w:ind w:left="5922" w:hanging="360"/>
      </w:pPr>
      <w:rPr>
        <w:rFonts w:ascii="Symbol" w:hAnsi="Symbol" w:hint="default"/>
      </w:rPr>
    </w:lvl>
    <w:lvl w:ilvl="4" w:tplc="10090003" w:tentative="1">
      <w:start w:val="1"/>
      <w:numFmt w:val="bullet"/>
      <w:lvlText w:val="o"/>
      <w:lvlJc w:val="left"/>
      <w:pPr>
        <w:ind w:left="6642" w:hanging="360"/>
      </w:pPr>
      <w:rPr>
        <w:rFonts w:ascii="Courier New" w:hAnsi="Courier New" w:cs="Courier New" w:hint="default"/>
      </w:rPr>
    </w:lvl>
    <w:lvl w:ilvl="5" w:tplc="10090005" w:tentative="1">
      <w:start w:val="1"/>
      <w:numFmt w:val="bullet"/>
      <w:lvlText w:val=""/>
      <w:lvlJc w:val="left"/>
      <w:pPr>
        <w:ind w:left="7362" w:hanging="360"/>
      </w:pPr>
      <w:rPr>
        <w:rFonts w:ascii="Wingdings" w:hAnsi="Wingdings" w:hint="default"/>
      </w:rPr>
    </w:lvl>
    <w:lvl w:ilvl="6" w:tplc="10090001" w:tentative="1">
      <w:start w:val="1"/>
      <w:numFmt w:val="bullet"/>
      <w:lvlText w:val=""/>
      <w:lvlJc w:val="left"/>
      <w:pPr>
        <w:ind w:left="8082" w:hanging="360"/>
      </w:pPr>
      <w:rPr>
        <w:rFonts w:ascii="Symbol" w:hAnsi="Symbol" w:hint="default"/>
      </w:rPr>
    </w:lvl>
    <w:lvl w:ilvl="7" w:tplc="10090003" w:tentative="1">
      <w:start w:val="1"/>
      <w:numFmt w:val="bullet"/>
      <w:lvlText w:val="o"/>
      <w:lvlJc w:val="left"/>
      <w:pPr>
        <w:ind w:left="8802" w:hanging="360"/>
      </w:pPr>
      <w:rPr>
        <w:rFonts w:ascii="Courier New" w:hAnsi="Courier New" w:cs="Courier New" w:hint="default"/>
      </w:rPr>
    </w:lvl>
    <w:lvl w:ilvl="8" w:tplc="10090005" w:tentative="1">
      <w:start w:val="1"/>
      <w:numFmt w:val="bullet"/>
      <w:lvlText w:val=""/>
      <w:lvlJc w:val="left"/>
      <w:pPr>
        <w:ind w:left="9522" w:hanging="360"/>
      </w:pPr>
      <w:rPr>
        <w:rFonts w:ascii="Wingdings" w:hAnsi="Wingdings" w:hint="default"/>
      </w:rPr>
    </w:lvl>
  </w:abstractNum>
  <w:abstractNum w:abstractNumId="1" w15:restartNumberingAfterBreak="0">
    <w:nsid w:val="0A093F76"/>
    <w:multiLevelType w:val="hybridMultilevel"/>
    <w:tmpl w:val="0ECE3E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4F3A95"/>
    <w:multiLevelType w:val="hybridMultilevel"/>
    <w:tmpl w:val="61B8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2142B"/>
    <w:multiLevelType w:val="hybridMultilevel"/>
    <w:tmpl w:val="BE229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942773"/>
    <w:multiLevelType w:val="hybridMultilevel"/>
    <w:tmpl w:val="46FA6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AA5370"/>
    <w:multiLevelType w:val="hybridMultilevel"/>
    <w:tmpl w:val="3D9853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CDA00F"/>
    <w:multiLevelType w:val="hybridMultilevel"/>
    <w:tmpl w:val="294E48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9C1842"/>
    <w:multiLevelType w:val="hybridMultilevel"/>
    <w:tmpl w:val="33440E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4B5B66"/>
    <w:multiLevelType w:val="hybridMultilevel"/>
    <w:tmpl w:val="61B86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1773A3"/>
    <w:multiLevelType w:val="hybridMultilevel"/>
    <w:tmpl w:val="E76A60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50B47DE"/>
    <w:multiLevelType w:val="hybridMultilevel"/>
    <w:tmpl w:val="89A63D6A"/>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F0893"/>
    <w:multiLevelType w:val="hybridMultilevel"/>
    <w:tmpl w:val="4CFA8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9047B9"/>
    <w:multiLevelType w:val="hybridMultilevel"/>
    <w:tmpl w:val="A274AA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390D73"/>
    <w:multiLevelType w:val="hybridMultilevel"/>
    <w:tmpl w:val="D5281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FF352A"/>
    <w:multiLevelType w:val="hybridMultilevel"/>
    <w:tmpl w:val="651676A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C5B5B43"/>
    <w:multiLevelType w:val="hybridMultilevel"/>
    <w:tmpl w:val="5594AB3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CAD3560"/>
    <w:multiLevelType w:val="hybridMultilevel"/>
    <w:tmpl w:val="BF86F5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35DE9"/>
    <w:multiLevelType w:val="hybridMultilevel"/>
    <w:tmpl w:val="F07C70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2974FB"/>
    <w:multiLevelType w:val="hybridMultilevel"/>
    <w:tmpl w:val="0A7EC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452F36"/>
    <w:multiLevelType w:val="hybridMultilevel"/>
    <w:tmpl w:val="DD44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328AD"/>
    <w:multiLevelType w:val="hybridMultilevel"/>
    <w:tmpl w:val="7B9E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B5B05"/>
    <w:multiLevelType w:val="hybridMultilevel"/>
    <w:tmpl w:val="22C8DE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6C767E"/>
    <w:multiLevelType w:val="hybridMultilevel"/>
    <w:tmpl w:val="3506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92BB7"/>
    <w:multiLevelType w:val="multilevel"/>
    <w:tmpl w:val="9DB6F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55ACE"/>
    <w:multiLevelType w:val="hybridMultilevel"/>
    <w:tmpl w:val="0ECE3E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93DC9"/>
    <w:multiLevelType w:val="hybridMultilevel"/>
    <w:tmpl w:val="3682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A0A5E"/>
    <w:multiLevelType w:val="hybridMultilevel"/>
    <w:tmpl w:val="AE50C856"/>
    <w:lvl w:ilvl="0" w:tplc="3982B3D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41E00F5"/>
    <w:multiLevelType w:val="hybridMultilevel"/>
    <w:tmpl w:val="22BE20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7A3F5E"/>
    <w:multiLevelType w:val="hybridMultilevel"/>
    <w:tmpl w:val="7B50232E"/>
    <w:lvl w:ilvl="0" w:tplc="BE84695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5B0C1F"/>
    <w:multiLevelType w:val="hybridMultilevel"/>
    <w:tmpl w:val="74904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935870"/>
    <w:multiLevelType w:val="hybridMultilevel"/>
    <w:tmpl w:val="A0542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DCA75B2"/>
    <w:multiLevelType w:val="hybridMultilevel"/>
    <w:tmpl w:val="E392E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1377210">
    <w:abstractNumId w:val="10"/>
  </w:num>
  <w:num w:numId="2" w16cid:durableId="73209611">
    <w:abstractNumId w:val="24"/>
  </w:num>
  <w:num w:numId="3" w16cid:durableId="1604193831">
    <w:abstractNumId w:val="1"/>
  </w:num>
  <w:num w:numId="4" w16cid:durableId="862135905">
    <w:abstractNumId w:val="2"/>
  </w:num>
  <w:num w:numId="5" w16cid:durableId="305017275">
    <w:abstractNumId w:val="8"/>
  </w:num>
  <w:num w:numId="6" w16cid:durableId="710805594">
    <w:abstractNumId w:val="27"/>
  </w:num>
  <w:num w:numId="7" w16cid:durableId="795366925">
    <w:abstractNumId w:val="0"/>
  </w:num>
  <w:num w:numId="8" w16cid:durableId="1275014540">
    <w:abstractNumId w:val="30"/>
  </w:num>
  <w:num w:numId="9" w16cid:durableId="851147593">
    <w:abstractNumId w:val="29"/>
  </w:num>
  <w:num w:numId="10" w16cid:durableId="930888768">
    <w:abstractNumId w:val="17"/>
  </w:num>
  <w:num w:numId="11" w16cid:durableId="672268835">
    <w:abstractNumId w:val="12"/>
  </w:num>
  <w:num w:numId="12" w16cid:durableId="866598619">
    <w:abstractNumId w:val="11"/>
  </w:num>
  <w:num w:numId="13" w16cid:durableId="302807108">
    <w:abstractNumId w:val="9"/>
  </w:num>
  <w:num w:numId="14" w16cid:durableId="2111703858">
    <w:abstractNumId w:val="7"/>
  </w:num>
  <w:num w:numId="15" w16cid:durableId="182596868">
    <w:abstractNumId w:val="3"/>
  </w:num>
  <w:num w:numId="16" w16cid:durableId="142426392">
    <w:abstractNumId w:val="5"/>
  </w:num>
  <w:num w:numId="17" w16cid:durableId="1938172466">
    <w:abstractNumId w:val="13"/>
  </w:num>
  <w:num w:numId="18" w16cid:durableId="1745027888">
    <w:abstractNumId w:val="18"/>
  </w:num>
  <w:num w:numId="19" w16cid:durableId="1814179710">
    <w:abstractNumId w:val="31"/>
  </w:num>
  <w:num w:numId="20" w16cid:durableId="813570808">
    <w:abstractNumId w:val="4"/>
  </w:num>
  <w:num w:numId="21" w16cid:durableId="876357417">
    <w:abstractNumId w:val="28"/>
  </w:num>
  <w:num w:numId="22" w16cid:durableId="1054544998">
    <w:abstractNumId w:val="20"/>
  </w:num>
  <w:num w:numId="23" w16cid:durableId="377509387">
    <w:abstractNumId w:val="19"/>
  </w:num>
  <w:num w:numId="24" w16cid:durableId="1865433547">
    <w:abstractNumId w:val="26"/>
  </w:num>
  <w:num w:numId="25" w16cid:durableId="642584341">
    <w:abstractNumId w:val="23"/>
  </w:num>
  <w:num w:numId="26" w16cid:durableId="717048008">
    <w:abstractNumId w:val="6"/>
  </w:num>
  <w:num w:numId="27" w16cid:durableId="1087580499">
    <w:abstractNumId w:val="22"/>
  </w:num>
  <w:num w:numId="28" w16cid:durableId="40984112">
    <w:abstractNumId w:val="25"/>
  </w:num>
  <w:num w:numId="29" w16cid:durableId="1921018467">
    <w:abstractNumId w:val="16"/>
  </w:num>
  <w:num w:numId="30" w16cid:durableId="1111894593">
    <w:abstractNumId w:val="14"/>
  </w:num>
  <w:num w:numId="31" w16cid:durableId="1539470317">
    <w:abstractNumId w:val="15"/>
  </w:num>
  <w:num w:numId="32" w16cid:durableId="2915190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54"/>
    <w:rsid w:val="00007BDD"/>
    <w:rsid w:val="00056B40"/>
    <w:rsid w:val="000A3134"/>
    <w:rsid w:val="000B3FFB"/>
    <w:rsid w:val="001022F0"/>
    <w:rsid w:val="00106C27"/>
    <w:rsid w:val="00120CB9"/>
    <w:rsid w:val="00140237"/>
    <w:rsid w:val="00160718"/>
    <w:rsid w:val="001613C5"/>
    <w:rsid w:val="00184232"/>
    <w:rsid w:val="001941A9"/>
    <w:rsid w:val="001A7595"/>
    <w:rsid w:val="001A768A"/>
    <w:rsid w:val="001D015B"/>
    <w:rsid w:val="001D04E7"/>
    <w:rsid w:val="00207D21"/>
    <w:rsid w:val="00220091"/>
    <w:rsid w:val="00252CB2"/>
    <w:rsid w:val="002A2F9B"/>
    <w:rsid w:val="002E35EC"/>
    <w:rsid w:val="003031C3"/>
    <w:rsid w:val="0031704B"/>
    <w:rsid w:val="00351DBE"/>
    <w:rsid w:val="00390EBF"/>
    <w:rsid w:val="003A0059"/>
    <w:rsid w:val="003B5AEB"/>
    <w:rsid w:val="004B15E7"/>
    <w:rsid w:val="004B66E9"/>
    <w:rsid w:val="00510E3F"/>
    <w:rsid w:val="00534333"/>
    <w:rsid w:val="0055527B"/>
    <w:rsid w:val="0057279A"/>
    <w:rsid w:val="00580D46"/>
    <w:rsid w:val="005E41A1"/>
    <w:rsid w:val="006241FF"/>
    <w:rsid w:val="00670750"/>
    <w:rsid w:val="00690E1D"/>
    <w:rsid w:val="006C4A1F"/>
    <w:rsid w:val="006D08E0"/>
    <w:rsid w:val="006F279A"/>
    <w:rsid w:val="00710885"/>
    <w:rsid w:val="007140C0"/>
    <w:rsid w:val="0072242A"/>
    <w:rsid w:val="00733EBB"/>
    <w:rsid w:val="00761561"/>
    <w:rsid w:val="00772044"/>
    <w:rsid w:val="00784989"/>
    <w:rsid w:val="007A2E2A"/>
    <w:rsid w:val="007A4DA8"/>
    <w:rsid w:val="007D43B7"/>
    <w:rsid w:val="007E11EC"/>
    <w:rsid w:val="007E48E3"/>
    <w:rsid w:val="008417C2"/>
    <w:rsid w:val="00851A70"/>
    <w:rsid w:val="0085726D"/>
    <w:rsid w:val="00873E5A"/>
    <w:rsid w:val="0088706A"/>
    <w:rsid w:val="008C18D4"/>
    <w:rsid w:val="008C220E"/>
    <w:rsid w:val="008F453E"/>
    <w:rsid w:val="00926FE4"/>
    <w:rsid w:val="00927D87"/>
    <w:rsid w:val="00947D1E"/>
    <w:rsid w:val="00982C50"/>
    <w:rsid w:val="00991254"/>
    <w:rsid w:val="00991A97"/>
    <w:rsid w:val="00994064"/>
    <w:rsid w:val="00995803"/>
    <w:rsid w:val="009B3BA7"/>
    <w:rsid w:val="009C225F"/>
    <w:rsid w:val="00A3145E"/>
    <w:rsid w:val="00A60023"/>
    <w:rsid w:val="00A75CF0"/>
    <w:rsid w:val="00A8380B"/>
    <w:rsid w:val="00AA64DC"/>
    <w:rsid w:val="00AB274D"/>
    <w:rsid w:val="00AC258B"/>
    <w:rsid w:val="00AC36A1"/>
    <w:rsid w:val="00AE57B9"/>
    <w:rsid w:val="00AF01CD"/>
    <w:rsid w:val="00AF7F4D"/>
    <w:rsid w:val="00B13817"/>
    <w:rsid w:val="00BB1374"/>
    <w:rsid w:val="00BC0302"/>
    <w:rsid w:val="00C365BA"/>
    <w:rsid w:val="00C67661"/>
    <w:rsid w:val="00C83A42"/>
    <w:rsid w:val="00CC443C"/>
    <w:rsid w:val="00CE0456"/>
    <w:rsid w:val="00D21265"/>
    <w:rsid w:val="00D41B5C"/>
    <w:rsid w:val="00D51D89"/>
    <w:rsid w:val="00DB7E1B"/>
    <w:rsid w:val="00DD0449"/>
    <w:rsid w:val="00DF15E5"/>
    <w:rsid w:val="00E12FC0"/>
    <w:rsid w:val="00E62B62"/>
    <w:rsid w:val="00E6356E"/>
    <w:rsid w:val="00E63924"/>
    <w:rsid w:val="00E868C0"/>
    <w:rsid w:val="00EE4E33"/>
    <w:rsid w:val="00F01454"/>
    <w:rsid w:val="00F603D5"/>
    <w:rsid w:val="00F6715D"/>
    <w:rsid w:val="00F7415F"/>
    <w:rsid w:val="00F861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F1363"/>
  <w15:chartTrackingRefBased/>
  <w15:docId w15:val="{24143951-1D26-4D09-8DD1-64B28064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C0"/>
    <w:rPr>
      <w:rFonts w:ascii="Arial" w:hAnsi="Arial"/>
      <w:sz w:val="24"/>
    </w:rPr>
  </w:style>
  <w:style w:type="paragraph" w:styleId="Heading1">
    <w:name w:val="heading 1"/>
    <w:basedOn w:val="Normal"/>
    <w:next w:val="Normal"/>
    <w:link w:val="Heading1Char"/>
    <w:uiPriority w:val="9"/>
    <w:qFormat/>
    <w:rsid w:val="00A8380B"/>
    <w:pPr>
      <w:keepNext/>
      <w:keepLines/>
      <w:spacing w:after="120"/>
      <w:jc w:val="center"/>
      <w:outlineLvl w:val="0"/>
    </w:pPr>
    <w:rPr>
      <w:rFonts w:ascii="Times New Roman" w:eastAsiaTheme="majorEastAsia" w:hAnsi="Times New Roman" w:cstheme="majorBidi"/>
      <w:color w:val="000000" w:themeColor="text1"/>
      <w:sz w:val="36"/>
      <w:szCs w:val="32"/>
    </w:rPr>
  </w:style>
  <w:style w:type="paragraph" w:styleId="Heading2">
    <w:name w:val="heading 2"/>
    <w:basedOn w:val="Normal"/>
    <w:next w:val="Normal"/>
    <w:link w:val="Heading2Char"/>
    <w:uiPriority w:val="9"/>
    <w:unhideWhenUsed/>
    <w:qFormat/>
    <w:rsid w:val="0085726D"/>
    <w:pPr>
      <w:keepNext/>
      <w:keepLines/>
      <w:spacing w:before="160" w:after="120"/>
      <w:ind w:left="360" w:hanging="360"/>
      <w:outlineLvl w:val="1"/>
    </w:pPr>
    <w:rPr>
      <w:rFonts w:eastAsiaTheme="majorEastAsia" w:cstheme="majorBidi"/>
      <w:b/>
      <w:sz w:val="28"/>
      <w:szCs w:val="26"/>
      <w:lang w:val="en-GB"/>
    </w:rPr>
  </w:style>
  <w:style w:type="paragraph" w:styleId="Heading3">
    <w:name w:val="heading 3"/>
    <w:basedOn w:val="Normal"/>
    <w:next w:val="Normal"/>
    <w:link w:val="Heading3Char"/>
    <w:uiPriority w:val="9"/>
    <w:unhideWhenUsed/>
    <w:qFormat/>
    <w:rsid w:val="00DF15E5"/>
    <w:pPr>
      <w:keepNext/>
      <w:keepLines/>
      <w:spacing w:before="160" w:after="1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80B"/>
    <w:rPr>
      <w:rFonts w:ascii="Times New Roman" w:eastAsiaTheme="majorEastAsia" w:hAnsi="Times New Roman" w:cstheme="majorBidi"/>
      <w:color w:val="000000" w:themeColor="text1"/>
      <w:sz w:val="36"/>
      <w:szCs w:val="32"/>
    </w:rPr>
  </w:style>
  <w:style w:type="character" w:customStyle="1" w:styleId="Heading2Char">
    <w:name w:val="Heading 2 Char"/>
    <w:basedOn w:val="DefaultParagraphFont"/>
    <w:link w:val="Heading2"/>
    <w:uiPriority w:val="9"/>
    <w:rsid w:val="0085726D"/>
    <w:rPr>
      <w:rFonts w:ascii="Arial" w:eastAsiaTheme="majorEastAsia" w:hAnsi="Arial" w:cstheme="majorBidi"/>
      <w:b/>
      <w:sz w:val="28"/>
      <w:szCs w:val="26"/>
      <w:lang w:val="en-GB"/>
    </w:rPr>
  </w:style>
  <w:style w:type="paragraph" w:styleId="Header">
    <w:name w:val="header"/>
    <w:basedOn w:val="Normal"/>
    <w:link w:val="HeaderChar"/>
    <w:uiPriority w:val="99"/>
    <w:unhideWhenUsed/>
    <w:rsid w:val="007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0C0"/>
    <w:rPr>
      <w:rFonts w:ascii="Arial" w:hAnsi="Arial"/>
      <w:sz w:val="24"/>
    </w:rPr>
  </w:style>
  <w:style w:type="paragraph" w:styleId="Footer">
    <w:name w:val="footer"/>
    <w:basedOn w:val="Normal"/>
    <w:link w:val="FooterChar"/>
    <w:uiPriority w:val="99"/>
    <w:unhideWhenUsed/>
    <w:rsid w:val="007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0C0"/>
    <w:rPr>
      <w:rFonts w:ascii="Arial" w:hAnsi="Arial"/>
      <w:sz w:val="24"/>
    </w:rPr>
  </w:style>
  <w:style w:type="character" w:styleId="Hyperlink">
    <w:name w:val="Hyperlink"/>
    <w:basedOn w:val="DefaultParagraphFont"/>
    <w:uiPriority w:val="99"/>
    <w:unhideWhenUsed/>
    <w:rsid w:val="007140C0"/>
    <w:rPr>
      <w:color w:val="0057BF" w:themeColor="hyperlink"/>
      <w:u w:val="single"/>
    </w:rPr>
  </w:style>
  <w:style w:type="character" w:styleId="UnresolvedMention">
    <w:name w:val="Unresolved Mention"/>
    <w:basedOn w:val="DefaultParagraphFont"/>
    <w:uiPriority w:val="99"/>
    <w:semiHidden/>
    <w:unhideWhenUsed/>
    <w:rsid w:val="007140C0"/>
    <w:rPr>
      <w:color w:val="605E5C"/>
      <w:shd w:val="clear" w:color="auto" w:fill="E1DFDD"/>
    </w:rPr>
  </w:style>
  <w:style w:type="character" w:styleId="Strong">
    <w:name w:val="Strong"/>
    <w:basedOn w:val="DefaultParagraphFont"/>
    <w:qFormat/>
    <w:rsid w:val="007140C0"/>
    <w:rPr>
      <w:b/>
      <w:bCs/>
    </w:rPr>
  </w:style>
  <w:style w:type="table" w:styleId="TableGrid">
    <w:name w:val="Table Grid"/>
    <w:basedOn w:val="TableNormal"/>
    <w:uiPriority w:val="39"/>
    <w:rsid w:val="0071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134"/>
    <w:pPr>
      <w:spacing w:before="240" w:after="240"/>
      <w:ind w:left="720"/>
    </w:pPr>
  </w:style>
  <w:style w:type="character" w:customStyle="1" w:styleId="Heading3Char">
    <w:name w:val="Heading 3 Char"/>
    <w:basedOn w:val="DefaultParagraphFont"/>
    <w:link w:val="Heading3"/>
    <w:uiPriority w:val="9"/>
    <w:rsid w:val="00DF15E5"/>
    <w:rPr>
      <w:rFonts w:ascii="Arial" w:eastAsiaTheme="majorEastAsia" w:hAnsi="Arial" w:cstheme="majorBidi"/>
      <w:b/>
      <w:color w:val="000000" w:themeColor="text1"/>
      <w:sz w:val="24"/>
      <w:szCs w:val="24"/>
    </w:rPr>
  </w:style>
  <w:style w:type="table" w:styleId="GridTable1Light">
    <w:name w:val="Grid Table 1 Light"/>
    <w:basedOn w:val="TableNormal"/>
    <w:uiPriority w:val="46"/>
    <w:rsid w:val="00D21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D04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4">
    <w:name w:val="Grid Table 2 Accent 4"/>
    <w:basedOn w:val="TableNormal"/>
    <w:uiPriority w:val="47"/>
    <w:rsid w:val="001D04E7"/>
    <w:pPr>
      <w:spacing w:after="0" w:line="240" w:lineRule="auto"/>
    </w:pPr>
    <w:tblPr>
      <w:tblStyleRowBandSize w:val="1"/>
      <w:tblStyleColBandSize w:val="1"/>
      <w:tblBorders>
        <w:top w:val="single" w:sz="2" w:space="0" w:color="9553D9" w:themeColor="accent4" w:themeTint="99"/>
        <w:bottom w:val="single" w:sz="2" w:space="0" w:color="9553D9" w:themeColor="accent4" w:themeTint="99"/>
        <w:insideH w:val="single" w:sz="2" w:space="0" w:color="9553D9" w:themeColor="accent4" w:themeTint="99"/>
        <w:insideV w:val="single" w:sz="2" w:space="0" w:color="9553D9" w:themeColor="accent4" w:themeTint="99"/>
      </w:tblBorders>
    </w:tblPr>
    <w:tblStylePr w:type="firstRow">
      <w:rPr>
        <w:b/>
        <w:bCs/>
      </w:rPr>
      <w:tblPr/>
      <w:tcPr>
        <w:tcBorders>
          <w:top w:val="nil"/>
          <w:bottom w:val="single" w:sz="12" w:space="0" w:color="9553D9" w:themeColor="accent4" w:themeTint="99"/>
          <w:insideH w:val="nil"/>
          <w:insideV w:val="nil"/>
        </w:tcBorders>
        <w:shd w:val="clear" w:color="auto" w:fill="FFFFFF" w:themeFill="background1"/>
      </w:tcPr>
    </w:tblStylePr>
    <w:tblStylePr w:type="lastRow">
      <w:rPr>
        <w:b/>
        <w:bCs/>
      </w:rPr>
      <w:tblPr/>
      <w:tcPr>
        <w:tcBorders>
          <w:top w:val="double" w:sz="2" w:space="0" w:color="955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C5F2" w:themeFill="accent4" w:themeFillTint="33"/>
      </w:tcPr>
    </w:tblStylePr>
    <w:tblStylePr w:type="band1Horz">
      <w:tblPr/>
      <w:tcPr>
        <w:shd w:val="clear" w:color="auto" w:fill="DBC5F2" w:themeFill="accent4" w:themeFillTint="33"/>
      </w:tcPr>
    </w:tblStylePr>
  </w:style>
  <w:style w:type="table" w:styleId="PlainTable1">
    <w:name w:val="Plain Table 1"/>
    <w:basedOn w:val="TableNormal"/>
    <w:uiPriority w:val="41"/>
    <w:rsid w:val="001D04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basedOn w:val="Normal"/>
    <w:next w:val="Normal"/>
    <w:link w:val="IntenseQuoteChar"/>
    <w:uiPriority w:val="30"/>
    <w:qFormat/>
    <w:rsid w:val="000A3134"/>
    <w:pPr>
      <w:pBdr>
        <w:top w:val="single" w:sz="4" w:space="10" w:color="0057BF" w:themeColor="accent1"/>
        <w:bottom w:val="single" w:sz="4" w:space="10" w:color="0057BF" w:themeColor="accent1"/>
      </w:pBdr>
      <w:spacing w:before="360" w:after="360"/>
      <w:ind w:left="864" w:right="864"/>
    </w:pPr>
    <w:rPr>
      <w:b/>
      <w:iCs/>
      <w:color w:val="0057BF" w:themeColor="accent1"/>
      <w:sz w:val="28"/>
    </w:rPr>
  </w:style>
  <w:style w:type="character" w:customStyle="1" w:styleId="IntenseQuoteChar">
    <w:name w:val="Intense Quote Char"/>
    <w:basedOn w:val="DefaultParagraphFont"/>
    <w:link w:val="IntenseQuote"/>
    <w:uiPriority w:val="30"/>
    <w:rsid w:val="000A3134"/>
    <w:rPr>
      <w:rFonts w:ascii="Arial" w:hAnsi="Arial"/>
      <w:b/>
      <w:iCs/>
      <w:color w:val="0057BF" w:themeColor="accent1"/>
      <w:sz w:val="28"/>
    </w:rPr>
  </w:style>
  <w:style w:type="paragraph" w:styleId="FootnoteText">
    <w:name w:val="footnote text"/>
    <w:basedOn w:val="Normal"/>
    <w:link w:val="FootnoteTextChar"/>
    <w:uiPriority w:val="99"/>
    <w:semiHidden/>
    <w:unhideWhenUsed/>
    <w:rsid w:val="00BB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374"/>
    <w:rPr>
      <w:rFonts w:ascii="Arial" w:hAnsi="Arial"/>
      <w:sz w:val="20"/>
      <w:szCs w:val="20"/>
    </w:rPr>
  </w:style>
  <w:style w:type="character" w:styleId="FootnoteReference">
    <w:name w:val="footnote reference"/>
    <w:basedOn w:val="DefaultParagraphFont"/>
    <w:uiPriority w:val="99"/>
    <w:semiHidden/>
    <w:unhideWhenUsed/>
    <w:rsid w:val="00BB1374"/>
    <w:rPr>
      <w:vertAlign w:val="superscript"/>
    </w:rPr>
  </w:style>
  <w:style w:type="paragraph" w:styleId="Quote">
    <w:name w:val="Quote"/>
    <w:basedOn w:val="Normal"/>
    <w:next w:val="Normal"/>
    <w:link w:val="QuoteChar"/>
    <w:uiPriority w:val="29"/>
    <w:qFormat/>
    <w:rsid w:val="003B5AEB"/>
    <w:pPr>
      <w:spacing w:before="200"/>
      <w:ind w:left="864" w:right="864"/>
      <w:jc w:val="center"/>
    </w:pPr>
    <w:rPr>
      <w:i/>
      <w:iCs/>
      <w:color w:val="262626" w:themeColor="text1" w:themeTint="D9"/>
      <w:sz w:val="28"/>
    </w:rPr>
  </w:style>
  <w:style w:type="character" w:customStyle="1" w:styleId="QuoteChar">
    <w:name w:val="Quote Char"/>
    <w:basedOn w:val="DefaultParagraphFont"/>
    <w:link w:val="Quote"/>
    <w:uiPriority w:val="29"/>
    <w:rsid w:val="003B5AEB"/>
    <w:rPr>
      <w:rFonts w:ascii="Arial" w:hAnsi="Arial"/>
      <w:i/>
      <w:iCs/>
      <w:color w:val="262626" w:themeColor="text1" w:themeTint="D9"/>
      <w:sz w:val="28"/>
    </w:rPr>
  </w:style>
  <w:style w:type="character" w:styleId="FollowedHyperlink">
    <w:name w:val="FollowedHyperlink"/>
    <w:basedOn w:val="DefaultParagraphFont"/>
    <w:uiPriority w:val="99"/>
    <w:semiHidden/>
    <w:unhideWhenUsed/>
    <w:rsid w:val="00761561"/>
    <w:rPr>
      <w:color w:val="007838" w:themeColor="followedHyperlink"/>
      <w:u w:val="single"/>
    </w:rPr>
  </w:style>
  <w:style w:type="character" w:customStyle="1" w:styleId="cf01">
    <w:name w:val="cf01"/>
    <w:basedOn w:val="DefaultParagraphFont"/>
    <w:rsid w:val="00784989"/>
    <w:rPr>
      <w:rFonts w:ascii="Segoe UI" w:hAnsi="Segoe UI" w:cs="Segoe UI" w:hint="default"/>
      <w:sz w:val="18"/>
      <w:szCs w:val="18"/>
    </w:rPr>
  </w:style>
  <w:style w:type="paragraph" w:styleId="BodyTextIndent">
    <w:name w:val="Body Text Indent"/>
    <w:basedOn w:val="Normal"/>
    <w:link w:val="BodyTextIndentChar"/>
    <w:unhideWhenUsed/>
    <w:rsid w:val="00007BDD"/>
    <w:pPr>
      <w:spacing w:after="0" w:line="360" w:lineRule="auto"/>
      <w:ind w:left="720"/>
    </w:pPr>
    <w:rPr>
      <w:rFonts w:ascii="Frutiger 55 Roman" w:eastAsia="Times New Roman" w:hAnsi="Frutiger 55 Roman" w:cs="Times New Roman"/>
      <w:kern w:val="0"/>
      <w:sz w:val="18"/>
      <w:szCs w:val="24"/>
      <w:lang w:val="en-GB"/>
      <w14:ligatures w14:val="none"/>
    </w:rPr>
  </w:style>
  <w:style w:type="character" w:customStyle="1" w:styleId="BodyTextIndentChar">
    <w:name w:val="Body Text Indent Char"/>
    <w:basedOn w:val="DefaultParagraphFont"/>
    <w:link w:val="BodyTextIndent"/>
    <w:rsid w:val="00007BDD"/>
    <w:rPr>
      <w:rFonts w:ascii="Frutiger 55 Roman" w:eastAsia="Times New Roman" w:hAnsi="Frutiger 55 Roman" w:cs="Times New Roman"/>
      <w:kern w:val="0"/>
      <w:sz w:val="18"/>
      <w:szCs w:val="24"/>
      <w:lang w:val="en-GB"/>
      <w14:ligatures w14:val="none"/>
    </w:rPr>
  </w:style>
  <w:style w:type="paragraph" w:styleId="NoSpacing">
    <w:name w:val="No Spacing"/>
    <w:uiPriority w:val="1"/>
    <w:qFormat/>
    <w:rsid w:val="00252CB2"/>
    <w:pPr>
      <w:spacing w:before="120" w:after="120" w:line="240" w:lineRule="auto"/>
    </w:pPr>
    <w:rPr>
      <w:rFonts w:ascii="Arial" w:eastAsia="Times New Roman" w:hAnsi="Arial" w:cs="Times New Roman"/>
      <w:kern w:val="0"/>
      <w:sz w:val="24"/>
      <w:szCs w:val="24"/>
      <w:lang w:val="en-US"/>
      <w14:ligatures w14:val="none"/>
    </w:rPr>
  </w:style>
  <w:style w:type="character" w:styleId="PlaceholderText">
    <w:name w:val="Placeholder Text"/>
    <w:basedOn w:val="DefaultParagraphFont"/>
    <w:uiPriority w:val="99"/>
    <w:semiHidden/>
    <w:rsid w:val="00AF7F4D"/>
    <w:rPr>
      <w:color w:val="666666"/>
    </w:rPr>
  </w:style>
  <w:style w:type="paragraph" w:styleId="Subtitle">
    <w:name w:val="Subtitle"/>
    <w:basedOn w:val="Normal"/>
    <w:next w:val="Normal"/>
    <w:link w:val="SubtitleChar"/>
    <w:uiPriority w:val="11"/>
    <w:qFormat/>
    <w:rsid w:val="0031704B"/>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31704B"/>
    <w:rPr>
      <w:rFonts w:ascii="Arial" w:eastAsiaTheme="minorEastAsia" w:hAnsi="Arial"/>
      <w:color w:val="5A5A5A" w:themeColor="text1" w:themeTint="A5"/>
      <w:spacing w:val="15"/>
    </w:rPr>
  </w:style>
  <w:style w:type="paragraph" w:styleId="TOCHeading">
    <w:name w:val="TOC Heading"/>
    <w:basedOn w:val="Heading1"/>
    <w:next w:val="Normal"/>
    <w:uiPriority w:val="39"/>
    <w:unhideWhenUsed/>
    <w:qFormat/>
    <w:rsid w:val="002E35EC"/>
    <w:pPr>
      <w:spacing w:before="240" w:after="0"/>
      <w:jc w:val="left"/>
      <w:outlineLvl w:val="9"/>
    </w:pPr>
    <w:rPr>
      <w:rFonts w:asciiTheme="majorHAnsi" w:hAnsiTheme="majorHAnsi"/>
      <w:color w:val="00418F" w:themeColor="accent1" w:themeShade="BF"/>
      <w:kern w:val="0"/>
      <w:sz w:val="32"/>
      <w:lang w:val="en-US"/>
      <w14:ligatures w14:val="none"/>
    </w:rPr>
  </w:style>
  <w:style w:type="paragraph" w:styleId="TOC1">
    <w:name w:val="toc 1"/>
    <w:basedOn w:val="Normal"/>
    <w:next w:val="Normal"/>
    <w:autoRedefine/>
    <w:uiPriority w:val="39"/>
    <w:unhideWhenUsed/>
    <w:rsid w:val="002E35EC"/>
    <w:pPr>
      <w:spacing w:after="100"/>
    </w:pPr>
  </w:style>
  <w:style w:type="paragraph" w:styleId="TOC2">
    <w:name w:val="toc 2"/>
    <w:basedOn w:val="Normal"/>
    <w:next w:val="Normal"/>
    <w:autoRedefine/>
    <w:uiPriority w:val="39"/>
    <w:unhideWhenUsed/>
    <w:rsid w:val="002E35E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rmingham.ac.uk/university/social-responsibility/index.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6">
      <a:dk1>
        <a:srgbClr val="000000"/>
      </a:dk1>
      <a:lt1>
        <a:srgbClr val="FFFFFF"/>
      </a:lt1>
      <a:dk2>
        <a:srgbClr val="3C3C3B"/>
      </a:dk2>
      <a:lt2>
        <a:srgbClr val="C59A00"/>
      </a:lt2>
      <a:accent1>
        <a:srgbClr val="0057BF"/>
      </a:accent1>
      <a:accent2>
        <a:srgbClr val="00788E"/>
      </a:accent2>
      <a:accent3>
        <a:srgbClr val="007838"/>
      </a:accent3>
      <a:accent4>
        <a:srgbClr val="501D83"/>
      </a:accent4>
      <a:accent5>
        <a:srgbClr val="DB0661"/>
      </a:accent5>
      <a:accent6>
        <a:srgbClr val="CF4527"/>
      </a:accent6>
      <a:hlink>
        <a:srgbClr val="0057BF"/>
      </a:hlink>
      <a:folHlink>
        <a:srgbClr val="0078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83AAC-FC61-4E88-98AE-18D9DD3527CF}">
  <ds:schemaRefs>
    <ds:schemaRef ds:uri="http://schemas.openxmlformats.org/officeDocument/2006/bibliography"/>
  </ds:schemaRefs>
</ds:datastoreItem>
</file>

<file path=customXml/itemProps2.xml><?xml version="1.0" encoding="utf-8"?>
<ds:datastoreItem xmlns:ds="http://schemas.openxmlformats.org/officeDocument/2006/customXml" ds:itemID="{1BAC2D17-5770-4F3F-ACE0-1E16C023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FDDF9-C10D-4C97-9044-7CF8D6B54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University of Birmingham</Company>
  <LinksUpToDate>false</LinksUpToDate>
  <CharactersWithSpaces>18753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Investment Policy</dc:title>
  <dc:subject/>
  <dc:creator>University of Birmingham</dc:creator>
  <cp:keywords/>
  <dc:description/>
  <cp:lastModifiedBy>Lucy Turner (Finance Office)</cp:lastModifiedBy>
  <cp:revision>26</cp:revision>
  <dcterms:created xsi:type="dcterms:W3CDTF">2024-05-14T15:26:00Z</dcterms:created>
  <dcterms:modified xsi:type="dcterms:W3CDTF">2025-01-27T10:43:00Z</dcterms:modified>
  <cp:category/>
</cp:coreProperties>
</file>